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741A8" w:rsidRPr="00C13CE6" w:rsidRDefault="006741A8"/>
    <w:p w:rsidR="00C13CE6" w:rsidRPr="00C13CE6" w:rsidRDefault="00084E35" w:rsidP="00C13CE6">
      <w:r>
        <w:t xml:space="preserve">11 Sept </w:t>
      </w:r>
      <w:r w:rsidR="00C13CE6" w:rsidRPr="00C13CE6">
        <w:t>2024</w:t>
      </w:r>
    </w:p>
    <w:p w:rsidR="00C13CE6" w:rsidRPr="00C13CE6" w:rsidRDefault="00C13CE6" w:rsidP="00C13CE6"/>
    <w:p w:rsidR="00C13CE6" w:rsidRPr="00C13CE6" w:rsidRDefault="00C13CE6" w:rsidP="00C13CE6">
      <w:r w:rsidRPr="00C13CE6">
        <w:t xml:space="preserve">TO: </w:t>
      </w:r>
      <w:r w:rsidR="00D44A68">
        <w:t>Central Coast Ranger District, Siuslaw National Forest</w:t>
      </w:r>
    </w:p>
    <w:p w:rsidR="00C13CE6" w:rsidRPr="00C13CE6" w:rsidRDefault="00C13CE6" w:rsidP="00C13CE6">
      <w:r w:rsidRPr="00C13CE6">
        <w:t xml:space="preserve">ATTN: </w:t>
      </w:r>
      <w:r w:rsidR="00D44A68">
        <w:t>Michele Holman, District Ranger</w:t>
      </w:r>
    </w:p>
    <w:p w:rsidR="00C13CE6" w:rsidRPr="00C13CE6" w:rsidRDefault="00C13CE6" w:rsidP="00C13CE6">
      <w:r w:rsidRPr="00C13CE6">
        <w:t xml:space="preserve">VIA: </w:t>
      </w:r>
      <w:hyperlink r:id="rId7" w:tgtFrame="_blank" w:history="1">
        <w:r w:rsidR="00D44A68" w:rsidRPr="00D44A68">
          <w:rPr>
            <w:rStyle w:val="Hyperlink"/>
          </w:rPr>
          <w:t>https://cara.fs2c.usda.gov/Public//CommentInput?Project=59122</w:t>
        </w:r>
      </w:hyperlink>
    </w:p>
    <w:p w:rsidR="00C13CE6" w:rsidRPr="00C13CE6" w:rsidRDefault="00C13CE6" w:rsidP="00C13CE6"/>
    <w:p w:rsidR="00C13CE6" w:rsidRPr="00C13CE6" w:rsidRDefault="00C13CE6" w:rsidP="00C13CE6">
      <w:pPr>
        <w:rPr>
          <w:b/>
        </w:rPr>
      </w:pPr>
      <w:r w:rsidRPr="00C13CE6">
        <w:rPr>
          <w:b/>
        </w:rPr>
        <w:t xml:space="preserve">Subject: </w:t>
      </w:r>
      <w:r w:rsidR="00084E35">
        <w:rPr>
          <w:b/>
        </w:rPr>
        <w:t>North Fork Smith Restoration EA</w:t>
      </w:r>
      <w:r w:rsidRPr="00C13CE6">
        <w:rPr>
          <w:b/>
        </w:rPr>
        <w:t xml:space="preserve"> —</w:t>
      </w:r>
      <w:r w:rsidR="00BE0853">
        <w:rPr>
          <w:b/>
        </w:rPr>
        <w:t xml:space="preserve"> </w:t>
      </w:r>
      <w:r w:rsidRPr="00C13CE6">
        <w:rPr>
          <w:b/>
        </w:rPr>
        <w:t>comments</w:t>
      </w:r>
    </w:p>
    <w:p w:rsidR="00C13CE6" w:rsidRPr="00C13CE6" w:rsidRDefault="00C13CE6" w:rsidP="00C13CE6"/>
    <w:p w:rsidR="00C13CE6" w:rsidRPr="00C13CE6" w:rsidRDefault="00C13CE6" w:rsidP="00C13CE6">
      <w:r w:rsidRPr="00C13CE6">
        <w:t xml:space="preserve">Please accept the </w:t>
      </w:r>
      <w:r w:rsidRPr="00A86085">
        <w:t xml:space="preserve">following comments from Oregon Wild concerning the </w:t>
      </w:r>
      <w:r w:rsidR="00A86085" w:rsidRPr="00A86085">
        <w:t>North Fork Smith Restoration EA</w:t>
      </w:r>
      <w:r w:rsidRPr="00A86085">
        <w:t xml:space="preserve">, </w:t>
      </w:r>
      <w:hyperlink r:id="rId8" w:history="1">
        <w:r w:rsidR="00A86085" w:rsidRPr="00A86085">
          <w:rPr>
            <w:rStyle w:val="Hyperlink"/>
          </w:rPr>
          <w:t>https://www.fs.usda.gov/project/siuslaw/?project=59122</w:t>
        </w:r>
      </w:hyperlink>
      <w:r w:rsidRPr="00A86085">
        <w:t>.</w:t>
      </w:r>
      <w:r w:rsidRPr="00C13CE6">
        <w:t xml:space="preserve"> Oregon Wild represents 20,000 members and supporters who share our mission to protect and restore Oregon’s wildlands, wildlife, and water as an enduring legacy. Our goal is to protect areas that remain intact while striving to restore areas that have been degraded. This can be accomplished by moving over-represented ecosystem elements (such as logged and roaded areas) toward characteristics that are currently under-represented (such as </w:t>
      </w:r>
      <w:r w:rsidR="00E34B68">
        <w:t>unroaded</w:t>
      </w:r>
      <w:r w:rsidRPr="00C13CE6">
        <w:t xml:space="preserve"> areas and complex old forest).</w:t>
      </w:r>
    </w:p>
    <w:p w:rsidR="00C13CE6" w:rsidRPr="00C13CE6" w:rsidRDefault="00C13CE6" w:rsidP="00C13CE6"/>
    <w:p w:rsidR="00C13CE6" w:rsidRDefault="00084E35" w:rsidP="00C13CE6">
      <w:r>
        <w:t>This proposal involves:</w:t>
      </w:r>
    </w:p>
    <w:p w:rsidR="00084E35" w:rsidRDefault="00084E35" w:rsidP="00084E35">
      <w:pPr>
        <w:numPr>
          <w:ilvl w:val="0"/>
          <w:numId w:val="2"/>
        </w:numPr>
      </w:pPr>
      <w:r w:rsidRPr="00084E35">
        <w:t xml:space="preserve">thinning harvest on (~4,113 acres); </w:t>
      </w:r>
      <w:r w:rsidR="00CA315B">
        <w:t xml:space="preserve">treated stands are </w:t>
      </w:r>
      <w:r w:rsidR="00CA315B" w:rsidRPr="00CA315B">
        <w:rPr>
          <w:lang w:val="en-US"/>
        </w:rPr>
        <w:t xml:space="preserve">28-73 years-old and would target 40, 60, or 80 </w:t>
      </w:r>
      <w:r w:rsidR="00CA315B">
        <w:rPr>
          <w:lang w:val="en-US"/>
        </w:rPr>
        <w:t>leave trees per acre</w:t>
      </w:r>
    </w:p>
    <w:p w:rsidR="00084E35" w:rsidRDefault="00084E35" w:rsidP="00084E35">
      <w:pPr>
        <w:numPr>
          <w:ilvl w:val="0"/>
          <w:numId w:val="2"/>
        </w:numPr>
      </w:pPr>
      <w:r w:rsidRPr="00084E35">
        <w:t xml:space="preserve">gap creation (166 acres, up to one-acre in size); </w:t>
      </w:r>
    </w:p>
    <w:p w:rsidR="00084E35" w:rsidRDefault="00084E35" w:rsidP="00084E35">
      <w:pPr>
        <w:numPr>
          <w:ilvl w:val="0"/>
          <w:numId w:val="2"/>
        </w:numPr>
      </w:pPr>
      <w:r w:rsidRPr="00084E35">
        <w:t xml:space="preserve">underplanting (western redcedar, bigleaf maple, and pacific yew ) in gaps, operational areas, and portions of thinned areas &lt; 70 trees per acre (TPA); </w:t>
      </w:r>
    </w:p>
    <w:p w:rsidR="00084E35" w:rsidRDefault="00084E35" w:rsidP="00084E35">
      <w:pPr>
        <w:numPr>
          <w:ilvl w:val="0"/>
          <w:numId w:val="2"/>
        </w:numPr>
      </w:pPr>
      <w:r w:rsidRPr="00084E35">
        <w:t xml:space="preserve">snag and </w:t>
      </w:r>
      <w:proofErr w:type="spellStart"/>
      <w:r w:rsidRPr="00084E35">
        <w:t>downwood</w:t>
      </w:r>
      <w:proofErr w:type="spellEnd"/>
      <w:r w:rsidRPr="00084E35">
        <w:t xml:space="preserve"> creation (up to 5/acre); </w:t>
      </w:r>
    </w:p>
    <w:p w:rsidR="00084E35" w:rsidRDefault="00084E35" w:rsidP="00084E35">
      <w:pPr>
        <w:numPr>
          <w:ilvl w:val="0"/>
          <w:numId w:val="2"/>
        </w:numPr>
      </w:pPr>
      <w:r w:rsidRPr="00084E35">
        <w:t xml:space="preserve">instream log placement (~17 miles of streams using ~ 1,190 plantation trees and ~ 130 mature trees from along USFS roads; </w:t>
      </w:r>
    </w:p>
    <w:p w:rsidR="00C067B3" w:rsidRDefault="00C067B3" w:rsidP="00084E35">
      <w:pPr>
        <w:numPr>
          <w:ilvl w:val="0"/>
          <w:numId w:val="2"/>
        </w:numPr>
      </w:pPr>
      <w:r>
        <w:t>“</w:t>
      </w:r>
      <w:r w:rsidRPr="00C067B3">
        <w:rPr>
          <w:lang w:val="en-US"/>
        </w:rPr>
        <w:t>Planned fish projects including riparian thinning</w:t>
      </w:r>
      <w:r>
        <w:rPr>
          <w:lang w:val="en-US"/>
        </w:rPr>
        <w:t>” (but the EA does not disclose what this entails)</w:t>
      </w:r>
    </w:p>
    <w:p w:rsidR="00084E35" w:rsidRDefault="00084E35" w:rsidP="00084E35">
      <w:pPr>
        <w:numPr>
          <w:ilvl w:val="0"/>
          <w:numId w:val="2"/>
        </w:numPr>
      </w:pPr>
      <w:r w:rsidRPr="00084E35">
        <w:t xml:space="preserve">riparian tree felling (~ 20 miles streams); </w:t>
      </w:r>
    </w:p>
    <w:p w:rsidR="00084E35" w:rsidRDefault="00084E35" w:rsidP="00084E35">
      <w:pPr>
        <w:numPr>
          <w:ilvl w:val="0"/>
          <w:numId w:val="2"/>
        </w:numPr>
      </w:pPr>
      <w:r w:rsidRPr="00084E35">
        <w:t xml:space="preserve">riparian tree planting (~ 5 miles of streams); </w:t>
      </w:r>
    </w:p>
    <w:p w:rsidR="00084E35" w:rsidRDefault="00084E35" w:rsidP="00084E35">
      <w:pPr>
        <w:numPr>
          <w:ilvl w:val="0"/>
          <w:numId w:val="2"/>
        </w:numPr>
      </w:pPr>
      <w:r w:rsidRPr="00084E35">
        <w:t xml:space="preserve">integrated weed management using manual, mechanical (~200 acres), and herbicide (~250 acres) treatments (including an early detection, early response strategy); </w:t>
      </w:r>
    </w:p>
    <w:p w:rsidR="00084E35" w:rsidRDefault="00084E35" w:rsidP="00084E35">
      <w:pPr>
        <w:numPr>
          <w:ilvl w:val="0"/>
          <w:numId w:val="2"/>
        </w:numPr>
      </w:pPr>
      <w:r w:rsidRPr="00084E35">
        <w:t xml:space="preserve">road decommissioning (~ 16 miles), </w:t>
      </w:r>
    </w:p>
    <w:p w:rsidR="00084E35" w:rsidRDefault="00084E35" w:rsidP="00084E35">
      <w:pPr>
        <w:numPr>
          <w:ilvl w:val="0"/>
          <w:numId w:val="2"/>
        </w:numPr>
      </w:pPr>
      <w:r w:rsidRPr="00084E35">
        <w:t xml:space="preserve">road closure/storage (~10.4 miles), </w:t>
      </w:r>
    </w:p>
    <w:p w:rsidR="00084E35" w:rsidRDefault="00084E35" w:rsidP="00084E35">
      <w:pPr>
        <w:numPr>
          <w:ilvl w:val="0"/>
          <w:numId w:val="2"/>
        </w:numPr>
      </w:pPr>
      <w:r w:rsidRPr="00084E35">
        <w:t xml:space="preserve">decommissioning of abandoned roads (~40 miles) and culverts (~40 stream crossing and ~30 ditch relief cross drains). </w:t>
      </w:r>
    </w:p>
    <w:p w:rsidR="00084E35" w:rsidRPr="00084E35" w:rsidRDefault="00084E35" w:rsidP="00084E35">
      <w:pPr>
        <w:numPr>
          <w:ilvl w:val="0"/>
          <w:numId w:val="1"/>
        </w:numPr>
      </w:pPr>
      <w:r w:rsidRPr="00084E35">
        <w:t>the Baldy Mountain Quarry would be reopened for road work and USFS Road 4800-022 would be stored/closed by installing a gate at the junction of USFS Road 4800 to limit access, protect natural resources, yet allow for future management.</w:t>
      </w:r>
    </w:p>
    <w:sdt>
      <w:sdtPr>
        <w:id w:val="804281609"/>
        <w:docPartObj>
          <w:docPartGallery w:val="Table of Contents"/>
          <w:docPartUnique/>
        </w:docPartObj>
      </w:sdtPr>
      <w:sdtEndPr>
        <w:rPr>
          <w:rFonts w:ascii="Georgia" w:eastAsia="Arial" w:hAnsi="Georgia" w:cs="Arial"/>
          <w:b/>
          <w:bCs/>
          <w:noProof/>
          <w:color w:val="auto"/>
          <w:sz w:val="22"/>
          <w:szCs w:val="22"/>
          <w:lang w:val="en"/>
        </w:rPr>
      </w:sdtEndPr>
      <w:sdtContent>
        <w:p w:rsidR="00C67380" w:rsidRDefault="00C67380">
          <w:pPr>
            <w:pStyle w:val="TOCHeading"/>
          </w:pPr>
          <w:r>
            <w:t>Contents</w:t>
          </w:r>
        </w:p>
        <w:p w:rsidR="007014E5" w:rsidRDefault="00C67380">
          <w:pPr>
            <w:pStyle w:val="TOC2"/>
            <w:tabs>
              <w:tab w:val="right" w:leader="dot" w:pos="9350"/>
            </w:tabs>
            <w:rPr>
              <w:rFonts w:asciiTheme="minorHAnsi" w:eastAsiaTheme="minorEastAsia" w:hAnsiTheme="minorHAnsi" w:cstheme="minorBidi"/>
              <w:noProof/>
              <w:lang w:val="en-US"/>
            </w:rPr>
          </w:pPr>
          <w:r>
            <w:fldChar w:fldCharType="begin"/>
          </w:r>
          <w:r>
            <w:instrText xml:space="preserve"> TOC \o "1-3" \h \z \u </w:instrText>
          </w:r>
          <w:r>
            <w:fldChar w:fldCharType="separate"/>
          </w:r>
          <w:hyperlink w:anchor="_Toc176959858" w:history="1">
            <w:r w:rsidR="007014E5" w:rsidRPr="005013C8">
              <w:rPr>
                <w:rStyle w:val="Hyperlink"/>
                <w:noProof/>
              </w:rPr>
              <w:t>Introduction</w:t>
            </w:r>
            <w:r w:rsidR="007014E5">
              <w:rPr>
                <w:noProof/>
                <w:webHidden/>
              </w:rPr>
              <w:tab/>
            </w:r>
            <w:r w:rsidR="007014E5">
              <w:rPr>
                <w:noProof/>
                <w:webHidden/>
              </w:rPr>
              <w:fldChar w:fldCharType="begin"/>
            </w:r>
            <w:r w:rsidR="007014E5">
              <w:rPr>
                <w:noProof/>
                <w:webHidden/>
              </w:rPr>
              <w:instrText xml:space="preserve"> PAGEREF _Toc176959858 \h </w:instrText>
            </w:r>
            <w:r w:rsidR="007014E5">
              <w:rPr>
                <w:noProof/>
                <w:webHidden/>
              </w:rPr>
            </w:r>
            <w:r w:rsidR="007014E5">
              <w:rPr>
                <w:noProof/>
                <w:webHidden/>
              </w:rPr>
              <w:fldChar w:fldCharType="separate"/>
            </w:r>
            <w:r w:rsidR="007014E5">
              <w:rPr>
                <w:noProof/>
                <w:webHidden/>
              </w:rPr>
              <w:t>2</w:t>
            </w:r>
            <w:r w:rsidR="007014E5">
              <w:rPr>
                <w:noProof/>
                <w:webHidden/>
              </w:rPr>
              <w:fldChar w:fldCharType="end"/>
            </w:r>
          </w:hyperlink>
        </w:p>
        <w:p w:rsidR="007014E5" w:rsidRDefault="007014E5">
          <w:pPr>
            <w:pStyle w:val="TOC2"/>
            <w:tabs>
              <w:tab w:val="right" w:leader="dot" w:pos="9350"/>
            </w:tabs>
            <w:rPr>
              <w:rFonts w:asciiTheme="minorHAnsi" w:eastAsiaTheme="minorEastAsia" w:hAnsiTheme="minorHAnsi" w:cstheme="minorBidi"/>
              <w:noProof/>
              <w:lang w:val="en-US"/>
            </w:rPr>
          </w:pPr>
          <w:hyperlink w:anchor="_Toc176959859" w:history="1">
            <w:r w:rsidRPr="005013C8">
              <w:rPr>
                <w:rStyle w:val="Hyperlink"/>
                <w:noProof/>
              </w:rPr>
              <w:t>Consider All Reasonable Alternatives.</w:t>
            </w:r>
            <w:r>
              <w:rPr>
                <w:noProof/>
                <w:webHidden/>
              </w:rPr>
              <w:tab/>
            </w:r>
            <w:r>
              <w:rPr>
                <w:noProof/>
                <w:webHidden/>
              </w:rPr>
              <w:fldChar w:fldCharType="begin"/>
            </w:r>
            <w:r>
              <w:rPr>
                <w:noProof/>
                <w:webHidden/>
              </w:rPr>
              <w:instrText xml:space="preserve"> PAGEREF _Toc176959859 \h </w:instrText>
            </w:r>
            <w:r>
              <w:rPr>
                <w:noProof/>
                <w:webHidden/>
              </w:rPr>
            </w:r>
            <w:r>
              <w:rPr>
                <w:noProof/>
                <w:webHidden/>
              </w:rPr>
              <w:fldChar w:fldCharType="separate"/>
            </w:r>
            <w:r>
              <w:rPr>
                <w:noProof/>
                <w:webHidden/>
              </w:rPr>
              <w:t>4</w:t>
            </w:r>
            <w:r>
              <w:rPr>
                <w:noProof/>
                <w:webHidden/>
              </w:rPr>
              <w:fldChar w:fldCharType="end"/>
            </w:r>
          </w:hyperlink>
        </w:p>
        <w:p w:rsidR="007014E5" w:rsidRDefault="007014E5">
          <w:pPr>
            <w:pStyle w:val="TOC2"/>
            <w:tabs>
              <w:tab w:val="right" w:leader="dot" w:pos="9350"/>
            </w:tabs>
            <w:rPr>
              <w:rFonts w:asciiTheme="minorHAnsi" w:eastAsiaTheme="minorEastAsia" w:hAnsiTheme="minorHAnsi" w:cstheme="minorBidi"/>
              <w:noProof/>
              <w:lang w:val="en-US"/>
            </w:rPr>
          </w:pPr>
          <w:hyperlink w:anchor="_Toc176959860" w:history="1">
            <w:r w:rsidRPr="005013C8">
              <w:rPr>
                <w:rStyle w:val="Hyperlink"/>
                <w:noProof/>
              </w:rPr>
              <w:t>The EA Needs to Consider the Benefits of Conserving Unroaded Areas</w:t>
            </w:r>
            <w:r>
              <w:rPr>
                <w:noProof/>
                <w:webHidden/>
              </w:rPr>
              <w:tab/>
            </w:r>
            <w:r>
              <w:rPr>
                <w:noProof/>
                <w:webHidden/>
              </w:rPr>
              <w:fldChar w:fldCharType="begin"/>
            </w:r>
            <w:r>
              <w:rPr>
                <w:noProof/>
                <w:webHidden/>
              </w:rPr>
              <w:instrText xml:space="preserve"> PAGEREF _Toc176959860 \h </w:instrText>
            </w:r>
            <w:r>
              <w:rPr>
                <w:noProof/>
                <w:webHidden/>
              </w:rPr>
            </w:r>
            <w:r>
              <w:rPr>
                <w:noProof/>
                <w:webHidden/>
              </w:rPr>
              <w:fldChar w:fldCharType="separate"/>
            </w:r>
            <w:r>
              <w:rPr>
                <w:noProof/>
                <w:webHidden/>
              </w:rPr>
              <w:t>8</w:t>
            </w:r>
            <w:r>
              <w:rPr>
                <w:noProof/>
                <w:webHidden/>
              </w:rPr>
              <w:fldChar w:fldCharType="end"/>
            </w:r>
          </w:hyperlink>
        </w:p>
        <w:p w:rsidR="007014E5" w:rsidRDefault="007014E5">
          <w:pPr>
            <w:pStyle w:val="TOC2"/>
            <w:tabs>
              <w:tab w:val="right" w:leader="dot" w:pos="9350"/>
            </w:tabs>
            <w:rPr>
              <w:rFonts w:asciiTheme="minorHAnsi" w:eastAsiaTheme="minorEastAsia" w:hAnsiTheme="minorHAnsi" w:cstheme="minorBidi"/>
              <w:noProof/>
              <w:lang w:val="en-US"/>
            </w:rPr>
          </w:pPr>
          <w:hyperlink w:anchor="_Toc176959861" w:history="1">
            <w:r w:rsidRPr="005013C8">
              <w:rPr>
                <w:rStyle w:val="Hyperlink"/>
                <w:noProof/>
              </w:rPr>
              <w:t>The EA Needs to Consider the Benefits of Allowing Natural Processes to Flourish in Unroaded Areas</w:t>
            </w:r>
            <w:r>
              <w:rPr>
                <w:noProof/>
                <w:webHidden/>
              </w:rPr>
              <w:tab/>
            </w:r>
            <w:r>
              <w:rPr>
                <w:noProof/>
                <w:webHidden/>
              </w:rPr>
              <w:fldChar w:fldCharType="begin"/>
            </w:r>
            <w:r>
              <w:rPr>
                <w:noProof/>
                <w:webHidden/>
              </w:rPr>
              <w:instrText xml:space="preserve"> PAGEREF _Toc176959861 \h </w:instrText>
            </w:r>
            <w:r>
              <w:rPr>
                <w:noProof/>
                <w:webHidden/>
              </w:rPr>
            </w:r>
            <w:r>
              <w:rPr>
                <w:noProof/>
                <w:webHidden/>
              </w:rPr>
              <w:fldChar w:fldCharType="separate"/>
            </w:r>
            <w:r>
              <w:rPr>
                <w:noProof/>
                <w:webHidden/>
              </w:rPr>
              <w:t>11</w:t>
            </w:r>
            <w:r>
              <w:rPr>
                <w:noProof/>
                <w:webHidden/>
              </w:rPr>
              <w:fldChar w:fldCharType="end"/>
            </w:r>
          </w:hyperlink>
        </w:p>
        <w:p w:rsidR="007014E5" w:rsidRDefault="007014E5">
          <w:pPr>
            <w:pStyle w:val="TOC2"/>
            <w:tabs>
              <w:tab w:val="right" w:leader="dot" w:pos="9350"/>
            </w:tabs>
            <w:rPr>
              <w:rFonts w:asciiTheme="minorHAnsi" w:eastAsiaTheme="minorEastAsia" w:hAnsiTheme="minorHAnsi" w:cstheme="minorBidi"/>
              <w:noProof/>
              <w:lang w:val="en-US"/>
            </w:rPr>
          </w:pPr>
          <w:hyperlink w:anchor="_Toc176959862" w:history="1">
            <w:r w:rsidRPr="005013C8">
              <w:rPr>
                <w:rStyle w:val="Hyperlink"/>
                <w:noProof/>
              </w:rPr>
              <w:t>The EA Needs to Consider New information on Unroaded Areas &gt;1,000 acres</w:t>
            </w:r>
            <w:r>
              <w:rPr>
                <w:noProof/>
                <w:webHidden/>
              </w:rPr>
              <w:tab/>
            </w:r>
            <w:r>
              <w:rPr>
                <w:noProof/>
                <w:webHidden/>
              </w:rPr>
              <w:fldChar w:fldCharType="begin"/>
            </w:r>
            <w:r>
              <w:rPr>
                <w:noProof/>
                <w:webHidden/>
              </w:rPr>
              <w:instrText xml:space="preserve"> PAGEREF _Toc176959862 \h </w:instrText>
            </w:r>
            <w:r>
              <w:rPr>
                <w:noProof/>
                <w:webHidden/>
              </w:rPr>
            </w:r>
            <w:r>
              <w:rPr>
                <w:noProof/>
                <w:webHidden/>
              </w:rPr>
              <w:fldChar w:fldCharType="separate"/>
            </w:r>
            <w:r>
              <w:rPr>
                <w:noProof/>
                <w:webHidden/>
              </w:rPr>
              <w:t>12</w:t>
            </w:r>
            <w:r>
              <w:rPr>
                <w:noProof/>
                <w:webHidden/>
              </w:rPr>
              <w:fldChar w:fldCharType="end"/>
            </w:r>
          </w:hyperlink>
        </w:p>
        <w:p w:rsidR="007014E5" w:rsidRDefault="007014E5">
          <w:pPr>
            <w:pStyle w:val="TOC2"/>
            <w:tabs>
              <w:tab w:val="right" w:leader="dot" w:pos="9350"/>
            </w:tabs>
            <w:rPr>
              <w:rFonts w:asciiTheme="minorHAnsi" w:eastAsiaTheme="minorEastAsia" w:hAnsiTheme="minorHAnsi" w:cstheme="minorBidi"/>
              <w:noProof/>
              <w:lang w:val="en-US"/>
            </w:rPr>
          </w:pPr>
          <w:hyperlink w:anchor="_Toc176959863" w:history="1">
            <w:r w:rsidRPr="005013C8">
              <w:rPr>
                <w:rStyle w:val="Hyperlink"/>
                <w:noProof/>
              </w:rPr>
              <w:t>The EA Needs to Consider an Optimal Mix of Treated and Untreated</w:t>
            </w:r>
            <w:r>
              <w:rPr>
                <w:noProof/>
                <w:webHidden/>
              </w:rPr>
              <w:tab/>
            </w:r>
            <w:r>
              <w:rPr>
                <w:noProof/>
                <w:webHidden/>
              </w:rPr>
              <w:fldChar w:fldCharType="begin"/>
            </w:r>
            <w:r>
              <w:rPr>
                <w:noProof/>
                <w:webHidden/>
              </w:rPr>
              <w:instrText xml:space="preserve"> PAGEREF _Toc176959863 \h </w:instrText>
            </w:r>
            <w:r>
              <w:rPr>
                <w:noProof/>
                <w:webHidden/>
              </w:rPr>
            </w:r>
            <w:r>
              <w:rPr>
                <w:noProof/>
                <w:webHidden/>
              </w:rPr>
              <w:fldChar w:fldCharType="separate"/>
            </w:r>
            <w:r>
              <w:rPr>
                <w:noProof/>
                <w:webHidden/>
              </w:rPr>
              <w:t>14</w:t>
            </w:r>
            <w:r>
              <w:rPr>
                <w:noProof/>
                <w:webHidden/>
              </w:rPr>
              <w:fldChar w:fldCharType="end"/>
            </w:r>
          </w:hyperlink>
        </w:p>
        <w:p w:rsidR="007014E5" w:rsidRDefault="007014E5">
          <w:pPr>
            <w:pStyle w:val="TOC2"/>
            <w:tabs>
              <w:tab w:val="right" w:leader="dot" w:pos="9350"/>
            </w:tabs>
            <w:rPr>
              <w:rFonts w:asciiTheme="minorHAnsi" w:eastAsiaTheme="minorEastAsia" w:hAnsiTheme="minorHAnsi" w:cstheme="minorBidi"/>
              <w:noProof/>
              <w:lang w:val="en-US"/>
            </w:rPr>
          </w:pPr>
          <w:hyperlink w:anchor="_Toc176959864" w:history="1">
            <w:r w:rsidRPr="005013C8">
              <w:rPr>
                <w:rStyle w:val="Hyperlink"/>
                <w:noProof/>
              </w:rPr>
              <w:t>The EA Needs to Disclose and Mitigate Trade-offs</w:t>
            </w:r>
            <w:r>
              <w:rPr>
                <w:noProof/>
                <w:webHidden/>
              </w:rPr>
              <w:tab/>
            </w:r>
            <w:r>
              <w:rPr>
                <w:noProof/>
                <w:webHidden/>
              </w:rPr>
              <w:fldChar w:fldCharType="begin"/>
            </w:r>
            <w:r>
              <w:rPr>
                <w:noProof/>
                <w:webHidden/>
              </w:rPr>
              <w:instrText xml:space="preserve"> PAGEREF _Toc176959864 \h </w:instrText>
            </w:r>
            <w:r>
              <w:rPr>
                <w:noProof/>
                <w:webHidden/>
              </w:rPr>
            </w:r>
            <w:r>
              <w:rPr>
                <w:noProof/>
                <w:webHidden/>
              </w:rPr>
              <w:fldChar w:fldCharType="separate"/>
            </w:r>
            <w:r>
              <w:rPr>
                <w:noProof/>
                <w:webHidden/>
              </w:rPr>
              <w:t>17</w:t>
            </w:r>
            <w:r>
              <w:rPr>
                <w:noProof/>
                <w:webHidden/>
              </w:rPr>
              <w:fldChar w:fldCharType="end"/>
            </w:r>
          </w:hyperlink>
        </w:p>
        <w:p w:rsidR="007014E5" w:rsidRDefault="007014E5">
          <w:pPr>
            <w:pStyle w:val="TOC2"/>
            <w:tabs>
              <w:tab w:val="right" w:leader="dot" w:pos="9350"/>
            </w:tabs>
            <w:rPr>
              <w:rFonts w:asciiTheme="minorHAnsi" w:eastAsiaTheme="minorEastAsia" w:hAnsiTheme="minorHAnsi" w:cstheme="minorBidi"/>
              <w:noProof/>
              <w:lang w:val="en-US"/>
            </w:rPr>
          </w:pPr>
          <w:hyperlink w:anchor="_Toc176959865" w:history="1">
            <w:r w:rsidRPr="005013C8">
              <w:rPr>
                <w:rStyle w:val="Hyperlink"/>
                <w:noProof/>
              </w:rPr>
              <w:t>Tree tipping does not fully mitigate for loss of functional wood caused by logging</w:t>
            </w:r>
            <w:r>
              <w:rPr>
                <w:noProof/>
                <w:webHidden/>
              </w:rPr>
              <w:tab/>
            </w:r>
            <w:r>
              <w:rPr>
                <w:noProof/>
                <w:webHidden/>
              </w:rPr>
              <w:fldChar w:fldCharType="begin"/>
            </w:r>
            <w:r>
              <w:rPr>
                <w:noProof/>
                <w:webHidden/>
              </w:rPr>
              <w:instrText xml:space="preserve"> PAGEREF _Toc176959865 \h </w:instrText>
            </w:r>
            <w:r>
              <w:rPr>
                <w:noProof/>
                <w:webHidden/>
              </w:rPr>
            </w:r>
            <w:r>
              <w:rPr>
                <w:noProof/>
                <w:webHidden/>
              </w:rPr>
              <w:fldChar w:fldCharType="separate"/>
            </w:r>
            <w:r>
              <w:rPr>
                <w:noProof/>
                <w:webHidden/>
              </w:rPr>
              <w:t>19</w:t>
            </w:r>
            <w:r>
              <w:rPr>
                <w:noProof/>
                <w:webHidden/>
              </w:rPr>
              <w:fldChar w:fldCharType="end"/>
            </w:r>
          </w:hyperlink>
        </w:p>
        <w:p w:rsidR="007014E5" w:rsidRDefault="007014E5">
          <w:pPr>
            <w:pStyle w:val="TOC2"/>
            <w:tabs>
              <w:tab w:val="right" w:leader="dot" w:pos="9350"/>
            </w:tabs>
            <w:rPr>
              <w:rFonts w:asciiTheme="minorHAnsi" w:eastAsiaTheme="minorEastAsia" w:hAnsiTheme="minorHAnsi" w:cstheme="minorBidi"/>
              <w:noProof/>
              <w:lang w:val="en-US"/>
            </w:rPr>
          </w:pPr>
          <w:hyperlink w:anchor="_Toc176959866" w:history="1">
            <w:r w:rsidRPr="005013C8">
              <w:rPr>
                <w:rStyle w:val="Hyperlink"/>
                <w:noProof/>
              </w:rPr>
              <w:t>The EA Needs to Weigh the trade-offs associated with logging in riparian reserves.</w:t>
            </w:r>
            <w:r>
              <w:rPr>
                <w:noProof/>
                <w:webHidden/>
              </w:rPr>
              <w:tab/>
            </w:r>
            <w:r>
              <w:rPr>
                <w:noProof/>
                <w:webHidden/>
              </w:rPr>
              <w:fldChar w:fldCharType="begin"/>
            </w:r>
            <w:r>
              <w:rPr>
                <w:noProof/>
                <w:webHidden/>
              </w:rPr>
              <w:instrText xml:space="preserve"> PAGEREF _Toc176959866 \h </w:instrText>
            </w:r>
            <w:r>
              <w:rPr>
                <w:noProof/>
                <w:webHidden/>
              </w:rPr>
            </w:r>
            <w:r>
              <w:rPr>
                <w:noProof/>
                <w:webHidden/>
              </w:rPr>
              <w:fldChar w:fldCharType="separate"/>
            </w:r>
            <w:r>
              <w:rPr>
                <w:noProof/>
                <w:webHidden/>
              </w:rPr>
              <w:t>21</w:t>
            </w:r>
            <w:r>
              <w:rPr>
                <w:noProof/>
                <w:webHidden/>
              </w:rPr>
              <w:fldChar w:fldCharType="end"/>
            </w:r>
          </w:hyperlink>
        </w:p>
        <w:p w:rsidR="007014E5" w:rsidRDefault="007014E5">
          <w:pPr>
            <w:pStyle w:val="TOC2"/>
            <w:tabs>
              <w:tab w:val="right" w:leader="dot" w:pos="9350"/>
            </w:tabs>
            <w:rPr>
              <w:rFonts w:asciiTheme="minorHAnsi" w:eastAsiaTheme="minorEastAsia" w:hAnsiTheme="minorHAnsi" w:cstheme="minorBidi"/>
              <w:noProof/>
              <w:lang w:val="en-US"/>
            </w:rPr>
          </w:pPr>
          <w:hyperlink w:anchor="_Toc176959867" w:history="1">
            <w:r w:rsidRPr="005013C8">
              <w:rPr>
                <w:rStyle w:val="Hyperlink"/>
                <w:noProof/>
              </w:rPr>
              <w:t>The EA fails to accurately disclose the adverse effects of logging on riparian reserves</w:t>
            </w:r>
            <w:r>
              <w:rPr>
                <w:noProof/>
                <w:webHidden/>
              </w:rPr>
              <w:tab/>
            </w:r>
            <w:r>
              <w:rPr>
                <w:noProof/>
                <w:webHidden/>
              </w:rPr>
              <w:fldChar w:fldCharType="begin"/>
            </w:r>
            <w:r>
              <w:rPr>
                <w:noProof/>
                <w:webHidden/>
              </w:rPr>
              <w:instrText xml:space="preserve"> PAGEREF _Toc176959867 \h </w:instrText>
            </w:r>
            <w:r>
              <w:rPr>
                <w:noProof/>
                <w:webHidden/>
              </w:rPr>
            </w:r>
            <w:r>
              <w:rPr>
                <w:noProof/>
                <w:webHidden/>
              </w:rPr>
              <w:fldChar w:fldCharType="separate"/>
            </w:r>
            <w:r>
              <w:rPr>
                <w:noProof/>
                <w:webHidden/>
              </w:rPr>
              <w:t>31</w:t>
            </w:r>
            <w:r>
              <w:rPr>
                <w:noProof/>
                <w:webHidden/>
              </w:rPr>
              <w:fldChar w:fldCharType="end"/>
            </w:r>
          </w:hyperlink>
        </w:p>
        <w:p w:rsidR="007014E5" w:rsidRDefault="007014E5">
          <w:pPr>
            <w:pStyle w:val="TOC2"/>
            <w:tabs>
              <w:tab w:val="right" w:leader="dot" w:pos="9350"/>
            </w:tabs>
            <w:rPr>
              <w:rFonts w:asciiTheme="minorHAnsi" w:eastAsiaTheme="minorEastAsia" w:hAnsiTheme="minorHAnsi" w:cstheme="minorBidi"/>
              <w:noProof/>
              <w:lang w:val="en-US"/>
            </w:rPr>
          </w:pPr>
          <w:hyperlink w:anchor="_Toc176959868" w:history="1">
            <w:r w:rsidRPr="005013C8">
              <w:rPr>
                <w:rStyle w:val="Hyperlink"/>
                <w:noProof/>
              </w:rPr>
              <w:t>The EA Needs to Consider the Effects of, and Alternatives to, Roads in Reserves</w:t>
            </w:r>
            <w:r>
              <w:rPr>
                <w:noProof/>
                <w:webHidden/>
              </w:rPr>
              <w:tab/>
            </w:r>
            <w:r>
              <w:rPr>
                <w:noProof/>
                <w:webHidden/>
              </w:rPr>
              <w:fldChar w:fldCharType="begin"/>
            </w:r>
            <w:r>
              <w:rPr>
                <w:noProof/>
                <w:webHidden/>
              </w:rPr>
              <w:instrText xml:space="preserve"> PAGEREF _Toc176959868 \h </w:instrText>
            </w:r>
            <w:r>
              <w:rPr>
                <w:noProof/>
                <w:webHidden/>
              </w:rPr>
            </w:r>
            <w:r>
              <w:rPr>
                <w:noProof/>
                <w:webHidden/>
              </w:rPr>
              <w:fldChar w:fldCharType="separate"/>
            </w:r>
            <w:r>
              <w:rPr>
                <w:noProof/>
                <w:webHidden/>
              </w:rPr>
              <w:t>34</w:t>
            </w:r>
            <w:r>
              <w:rPr>
                <w:noProof/>
                <w:webHidden/>
              </w:rPr>
              <w:fldChar w:fldCharType="end"/>
            </w:r>
          </w:hyperlink>
        </w:p>
        <w:p w:rsidR="007014E5" w:rsidRDefault="007014E5">
          <w:pPr>
            <w:pStyle w:val="TOC2"/>
            <w:tabs>
              <w:tab w:val="right" w:leader="dot" w:pos="9350"/>
            </w:tabs>
            <w:rPr>
              <w:rFonts w:asciiTheme="minorHAnsi" w:eastAsiaTheme="minorEastAsia" w:hAnsiTheme="minorHAnsi" w:cstheme="minorBidi"/>
              <w:noProof/>
              <w:lang w:val="en-US"/>
            </w:rPr>
          </w:pPr>
          <w:hyperlink w:anchor="_Toc176959869" w:history="1">
            <w:r w:rsidRPr="005013C8">
              <w:rPr>
                <w:rStyle w:val="Hyperlink"/>
                <w:noProof/>
              </w:rPr>
              <w:t>The EA needs to Consider Effects of, and Alternatives to, Temporary Roads</w:t>
            </w:r>
            <w:r>
              <w:rPr>
                <w:noProof/>
                <w:webHidden/>
              </w:rPr>
              <w:tab/>
            </w:r>
            <w:r>
              <w:rPr>
                <w:noProof/>
                <w:webHidden/>
              </w:rPr>
              <w:fldChar w:fldCharType="begin"/>
            </w:r>
            <w:r>
              <w:rPr>
                <w:noProof/>
                <w:webHidden/>
              </w:rPr>
              <w:instrText xml:space="preserve"> PAGEREF _Toc176959869 \h </w:instrText>
            </w:r>
            <w:r>
              <w:rPr>
                <w:noProof/>
                <w:webHidden/>
              </w:rPr>
            </w:r>
            <w:r>
              <w:rPr>
                <w:noProof/>
                <w:webHidden/>
              </w:rPr>
              <w:fldChar w:fldCharType="separate"/>
            </w:r>
            <w:r>
              <w:rPr>
                <w:noProof/>
                <w:webHidden/>
              </w:rPr>
              <w:t>35</w:t>
            </w:r>
            <w:r>
              <w:rPr>
                <w:noProof/>
                <w:webHidden/>
              </w:rPr>
              <w:fldChar w:fldCharType="end"/>
            </w:r>
          </w:hyperlink>
        </w:p>
        <w:p w:rsidR="007014E5" w:rsidRDefault="007014E5">
          <w:pPr>
            <w:pStyle w:val="TOC2"/>
            <w:tabs>
              <w:tab w:val="right" w:leader="dot" w:pos="9350"/>
            </w:tabs>
            <w:rPr>
              <w:rFonts w:asciiTheme="minorHAnsi" w:eastAsiaTheme="minorEastAsia" w:hAnsiTheme="minorHAnsi" w:cstheme="minorBidi"/>
              <w:noProof/>
              <w:lang w:val="en-US"/>
            </w:rPr>
          </w:pPr>
          <w:hyperlink w:anchor="_Toc176959870" w:history="1">
            <w:r w:rsidRPr="005013C8">
              <w:rPr>
                <w:rStyle w:val="Hyperlink"/>
                <w:noProof/>
              </w:rPr>
              <w:t>The EA Needs to Consider the Adverse Effects of Logging on Habitat Conditions for Raptors, like Northern Spotted Owl.</w:t>
            </w:r>
            <w:r>
              <w:rPr>
                <w:noProof/>
                <w:webHidden/>
              </w:rPr>
              <w:tab/>
            </w:r>
            <w:r>
              <w:rPr>
                <w:noProof/>
                <w:webHidden/>
              </w:rPr>
              <w:fldChar w:fldCharType="begin"/>
            </w:r>
            <w:r>
              <w:rPr>
                <w:noProof/>
                <w:webHidden/>
              </w:rPr>
              <w:instrText xml:space="preserve"> PAGEREF _Toc176959870 \h </w:instrText>
            </w:r>
            <w:r>
              <w:rPr>
                <w:noProof/>
                <w:webHidden/>
              </w:rPr>
            </w:r>
            <w:r>
              <w:rPr>
                <w:noProof/>
                <w:webHidden/>
              </w:rPr>
              <w:fldChar w:fldCharType="separate"/>
            </w:r>
            <w:r>
              <w:rPr>
                <w:noProof/>
                <w:webHidden/>
              </w:rPr>
              <w:t>36</w:t>
            </w:r>
            <w:r>
              <w:rPr>
                <w:noProof/>
                <w:webHidden/>
              </w:rPr>
              <w:fldChar w:fldCharType="end"/>
            </w:r>
          </w:hyperlink>
        </w:p>
        <w:p w:rsidR="007014E5" w:rsidRDefault="007014E5">
          <w:pPr>
            <w:pStyle w:val="TOC2"/>
            <w:tabs>
              <w:tab w:val="right" w:leader="dot" w:pos="9350"/>
            </w:tabs>
            <w:rPr>
              <w:rFonts w:asciiTheme="minorHAnsi" w:eastAsiaTheme="minorEastAsia" w:hAnsiTheme="minorHAnsi" w:cstheme="minorBidi"/>
              <w:noProof/>
              <w:lang w:val="en-US"/>
            </w:rPr>
          </w:pPr>
          <w:hyperlink w:anchor="_Toc176959871" w:history="1">
            <w:r w:rsidRPr="005013C8">
              <w:rPr>
                <w:rStyle w:val="Hyperlink"/>
                <w:noProof/>
              </w:rPr>
              <w:t>The EA Needs to Consider the Thinning effects on Flying Squirrels</w:t>
            </w:r>
            <w:r>
              <w:rPr>
                <w:noProof/>
                <w:webHidden/>
              </w:rPr>
              <w:tab/>
            </w:r>
            <w:r>
              <w:rPr>
                <w:noProof/>
                <w:webHidden/>
              </w:rPr>
              <w:fldChar w:fldCharType="begin"/>
            </w:r>
            <w:r>
              <w:rPr>
                <w:noProof/>
                <w:webHidden/>
              </w:rPr>
              <w:instrText xml:space="preserve"> PAGEREF _Toc176959871 \h </w:instrText>
            </w:r>
            <w:r>
              <w:rPr>
                <w:noProof/>
                <w:webHidden/>
              </w:rPr>
            </w:r>
            <w:r>
              <w:rPr>
                <w:noProof/>
                <w:webHidden/>
              </w:rPr>
              <w:fldChar w:fldCharType="separate"/>
            </w:r>
            <w:r>
              <w:rPr>
                <w:noProof/>
                <w:webHidden/>
              </w:rPr>
              <w:t>38</w:t>
            </w:r>
            <w:r>
              <w:rPr>
                <w:noProof/>
                <w:webHidden/>
              </w:rPr>
              <w:fldChar w:fldCharType="end"/>
            </w:r>
          </w:hyperlink>
        </w:p>
        <w:p w:rsidR="007014E5" w:rsidRDefault="007014E5">
          <w:pPr>
            <w:pStyle w:val="TOC2"/>
            <w:tabs>
              <w:tab w:val="right" w:leader="dot" w:pos="9350"/>
            </w:tabs>
            <w:rPr>
              <w:rFonts w:asciiTheme="minorHAnsi" w:eastAsiaTheme="minorEastAsia" w:hAnsiTheme="minorHAnsi" w:cstheme="minorBidi"/>
              <w:noProof/>
              <w:lang w:val="en-US"/>
            </w:rPr>
          </w:pPr>
          <w:hyperlink w:anchor="_Toc176959872" w:history="1">
            <w:r w:rsidRPr="005013C8">
              <w:rPr>
                <w:rStyle w:val="Hyperlink"/>
                <w:noProof/>
              </w:rPr>
              <w:t>The For</w:t>
            </w:r>
            <w:r w:rsidRPr="005013C8">
              <w:rPr>
                <w:rStyle w:val="Hyperlink"/>
                <w:noProof/>
              </w:rPr>
              <w:t>e</w:t>
            </w:r>
            <w:r w:rsidRPr="005013C8">
              <w:rPr>
                <w:rStyle w:val="Hyperlink"/>
                <w:noProof/>
              </w:rPr>
              <w:t>st Service Needs to Minimize and Mitigate the Adverse Effects of Logging on Dead and Down Wood</w:t>
            </w:r>
            <w:r>
              <w:rPr>
                <w:noProof/>
                <w:webHidden/>
              </w:rPr>
              <w:tab/>
            </w:r>
            <w:r>
              <w:rPr>
                <w:noProof/>
                <w:webHidden/>
              </w:rPr>
              <w:fldChar w:fldCharType="begin"/>
            </w:r>
            <w:r>
              <w:rPr>
                <w:noProof/>
                <w:webHidden/>
              </w:rPr>
              <w:instrText xml:space="preserve"> PAGEREF _Toc176959872 \h </w:instrText>
            </w:r>
            <w:r>
              <w:rPr>
                <w:noProof/>
                <w:webHidden/>
              </w:rPr>
            </w:r>
            <w:r>
              <w:rPr>
                <w:noProof/>
                <w:webHidden/>
              </w:rPr>
              <w:fldChar w:fldCharType="separate"/>
            </w:r>
            <w:r>
              <w:rPr>
                <w:noProof/>
                <w:webHidden/>
              </w:rPr>
              <w:t>39</w:t>
            </w:r>
            <w:r>
              <w:rPr>
                <w:noProof/>
                <w:webHidden/>
              </w:rPr>
              <w:fldChar w:fldCharType="end"/>
            </w:r>
          </w:hyperlink>
        </w:p>
        <w:p w:rsidR="007014E5" w:rsidRDefault="007014E5">
          <w:pPr>
            <w:pStyle w:val="TOC2"/>
            <w:tabs>
              <w:tab w:val="right" w:leader="dot" w:pos="9350"/>
            </w:tabs>
            <w:rPr>
              <w:rFonts w:asciiTheme="minorHAnsi" w:eastAsiaTheme="minorEastAsia" w:hAnsiTheme="minorHAnsi" w:cstheme="minorBidi"/>
              <w:noProof/>
              <w:lang w:val="en-US"/>
            </w:rPr>
          </w:pPr>
          <w:hyperlink w:anchor="_Toc176959873" w:history="1">
            <w:r w:rsidRPr="005013C8">
              <w:rPr>
                <w:rStyle w:val="Hyperlink"/>
                <w:noProof/>
              </w:rPr>
              <w:t>The Purpose and Need Should Address The Unmet Need for Carbon Storage</w:t>
            </w:r>
            <w:r>
              <w:rPr>
                <w:noProof/>
                <w:webHidden/>
              </w:rPr>
              <w:tab/>
            </w:r>
            <w:r>
              <w:rPr>
                <w:noProof/>
                <w:webHidden/>
              </w:rPr>
              <w:fldChar w:fldCharType="begin"/>
            </w:r>
            <w:r>
              <w:rPr>
                <w:noProof/>
                <w:webHidden/>
              </w:rPr>
              <w:instrText xml:space="preserve"> PAGEREF _Toc176959873 \h </w:instrText>
            </w:r>
            <w:r>
              <w:rPr>
                <w:noProof/>
                <w:webHidden/>
              </w:rPr>
            </w:r>
            <w:r>
              <w:rPr>
                <w:noProof/>
                <w:webHidden/>
              </w:rPr>
              <w:fldChar w:fldCharType="separate"/>
            </w:r>
            <w:r>
              <w:rPr>
                <w:noProof/>
                <w:webHidden/>
              </w:rPr>
              <w:t>43</w:t>
            </w:r>
            <w:r>
              <w:rPr>
                <w:noProof/>
                <w:webHidden/>
              </w:rPr>
              <w:fldChar w:fldCharType="end"/>
            </w:r>
          </w:hyperlink>
        </w:p>
        <w:p w:rsidR="007014E5" w:rsidRDefault="007014E5">
          <w:pPr>
            <w:pStyle w:val="TOC2"/>
            <w:tabs>
              <w:tab w:val="right" w:leader="dot" w:pos="9350"/>
            </w:tabs>
            <w:rPr>
              <w:rFonts w:asciiTheme="minorHAnsi" w:eastAsiaTheme="minorEastAsia" w:hAnsiTheme="minorHAnsi" w:cstheme="minorBidi"/>
              <w:noProof/>
              <w:lang w:val="en-US"/>
            </w:rPr>
          </w:pPr>
          <w:hyperlink w:anchor="_Toc176959874" w:history="1">
            <w:r w:rsidRPr="005013C8">
              <w:rPr>
                <w:rStyle w:val="Hyperlink"/>
                <w:noProof/>
              </w:rPr>
              <w:t>The EA should Not Rely on the Flawed Climate Analyses</w:t>
            </w:r>
            <w:r>
              <w:rPr>
                <w:noProof/>
                <w:webHidden/>
              </w:rPr>
              <w:tab/>
            </w:r>
            <w:r>
              <w:rPr>
                <w:noProof/>
                <w:webHidden/>
              </w:rPr>
              <w:fldChar w:fldCharType="begin"/>
            </w:r>
            <w:r>
              <w:rPr>
                <w:noProof/>
                <w:webHidden/>
              </w:rPr>
              <w:instrText xml:space="preserve"> PAGEREF _Toc176959874 \h </w:instrText>
            </w:r>
            <w:r>
              <w:rPr>
                <w:noProof/>
                <w:webHidden/>
              </w:rPr>
            </w:r>
            <w:r>
              <w:rPr>
                <w:noProof/>
                <w:webHidden/>
              </w:rPr>
              <w:fldChar w:fldCharType="separate"/>
            </w:r>
            <w:r>
              <w:rPr>
                <w:noProof/>
                <w:webHidden/>
              </w:rPr>
              <w:t>45</w:t>
            </w:r>
            <w:r>
              <w:rPr>
                <w:noProof/>
                <w:webHidden/>
              </w:rPr>
              <w:fldChar w:fldCharType="end"/>
            </w:r>
          </w:hyperlink>
        </w:p>
        <w:p w:rsidR="007014E5" w:rsidRDefault="007014E5">
          <w:pPr>
            <w:pStyle w:val="TOC2"/>
            <w:tabs>
              <w:tab w:val="right" w:leader="dot" w:pos="9350"/>
            </w:tabs>
            <w:rPr>
              <w:rFonts w:asciiTheme="minorHAnsi" w:eastAsiaTheme="minorEastAsia" w:hAnsiTheme="minorHAnsi" w:cstheme="minorBidi"/>
              <w:noProof/>
              <w:lang w:val="en-US"/>
            </w:rPr>
          </w:pPr>
          <w:hyperlink w:anchor="_Toc176959875" w:history="1">
            <w:r w:rsidRPr="005013C8">
              <w:rPr>
                <w:rStyle w:val="Hyperlink"/>
                <w:noProof/>
              </w:rPr>
              <w:t>The EA Needs to Follow CEQ Guidance: Take a Hard Look at the Effects of, and Alternatives to, GHG Emissions from Logging.</w:t>
            </w:r>
            <w:r>
              <w:rPr>
                <w:noProof/>
                <w:webHidden/>
              </w:rPr>
              <w:tab/>
            </w:r>
            <w:r>
              <w:rPr>
                <w:noProof/>
                <w:webHidden/>
              </w:rPr>
              <w:fldChar w:fldCharType="begin"/>
            </w:r>
            <w:r>
              <w:rPr>
                <w:noProof/>
                <w:webHidden/>
              </w:rPr>
              <w:instrText xml:space="preserve"> PAGEREF _Toc176959875 \h </w:instrText>
            </w:r>
            <w:r>
              <w:rPr>
                <w:noProof/>
                <w:webHidden/>
              </w:rPr>
            </w:r>
            <w:r>
              <w:rPr>
                <w:noProof/>
                <w:webHidden/>
              </w:rPr>
              <w:fldChar w:fldCharType="separate"/>
            </w:r>
            <w:r>
              <w:rPr>
                <w:noProof/>
                <w:webHidden/>
              </w:rPr>
              <w:t>46</w:t>
            </w:r>
            <w:r>
              <w:rPr>
                <w:noProof/>
                <w:webHidden/>
              </w:rPr>
              <w:fldChar w:fldCharType="end"/>
            </w:r>
          </w:hyperlink>
        </w:p>
        <w:p w:rsidR="007014E5" w:rsidRDefault="007014E5">
          <w:pPr>
            <w:pStyle w:val="TOC2"/>
            <w:tabs>
              <w:tab w:val="right" w:leader="dot" w:pos="9350"/>
            </w:tabs>
            <w:rPr>
              <w:rFonts w:asciiTheme="minorHAnsi" w:eastAsiaTheme="minorEastAsia" w:hAnsiTheme="minorHAnsi" w:cstheme="minorBidi"/>
              <w:noProof/>
              <w:lang w:val="en-US"/>
            </w:rPr>
          </w:pPr>
          <w:hyperlink w:anchor="_Toc176959876" w:history="1">
            <w:r w:rsidRPr="005013C8">
              <w:rPr>
                <w:rStyle w:val="Hyperlink"/>
                <w:noProof/>
              </w:rPr>
              <w:t>The EA Needs to Harmonize climate change mitigation and adaptation</w:t>
            </w:r>
            <w:r>
              <w:rPr>
                <w:noProof/>
                <w:webHidden/>
              </w:rPr>
              <w:tab/>
            </w:r>
            <w:r>
              <w:rPr>
                <w:noProof/>
                <w:webHidden/>
              </w:rPr>
              <w:fldChar w:fldCharType="begin"/>
            </w:r>
            <w:r>
              <w:rPr>
                <w:noProof/>
                <w:webHidden/>
              </w:rPr>
              <w:instrText xml:space="preserve"> PAGEREF _Toc176959876 \h </w:instrText>
            </w:r>
            <w:r>
              <w:rPr>
                <w:noProof/>
                <w:webHidden/>
              </w:rPr>
            </w:r>
            <w:r>
              <w:rPr>
                <w:noProof/>
                <w:webHidden/>
              </w:rPr>
              <w:fldChar w:fldCharType="separate"/>
            </w:r>
            <w:r>
              <w:rPr>
                <w:noProof/>
                <w:webHidden/>
              </w:rPr>
              <w:t>50</w:t>
            </w:r>
            <w:r>
              <w:rPr>
                <w:noProof/>
                <w:webHidden/>
              </w:rPr>
              <w:fldChar w:fldCharType="end"/>
            </w:r>
          </w:hyperlink>
        </w:p>
        <w:p w:rsidR="007014E5" w:rsidRDefault="007014E5">
          <w:pPr>
            <w:pStyle w:val="TOC2"/>
            <w:tabs>
              <w:tab w:val="right" w:leader="dot" w:pos="9350"/>
            </w:tabs>
            <w:rPr>
              <w:rFonts w:asciiTheme="minorHAnsi" w:eastAsiaTheme="minorEastAsia" w:hAnsiTheme="minorHAnsi" w:cstheme="minorBidi"/>
              <w:noProof/>
              <w:lang w:val="en-US"/>
            </w:rPr>
          </w:pPr>
          <w:hyperlink w:anchor="_Toc176959877" w:history="1">
            <w:r w:rsidRPr="005013C8">
              <w:rPr>
                <w:rStyle w:val="Hyperlink"/>
                <w:noProof/>
              </w:rPr>
              <w:t>The EA Needs to Consider Accurately Account for Fact that Thinning Does Not Increase Carbon Storage.</w:t>
            </w:r>
            <w:r>
              <w:rPr>
                <w:noProof/>
                <w:webHidden/>
              </w:rPr>
              <w:tab/>
            </w:r>
            <w:r>
              <w:rPr>
                <w:noProof/>
                <w:webHidden/>
              </w:rPr>
              <w:fldChar w:fldCharType="begin"/>
            </w:r>
            <w:r>
              <w:rPr>
                <w:noProof/>
                <w:webHidden/>
              </w:rPr>
              <w:instrText xml:space="preserve"> PAGEREF _Toc176959877 \h </w:instrText>
            </w:r>
            <w:r>
              <w:rPr>
                <w:noProof/>
                <w:webHidden/>
              </w:rPr>
            </w:r>
            <w:r>
              <w:rPr>
                <w:noProof/>
                <w:webHidden/>
              </w:rPr>
              <w:fldChar w:fldCharType="separate"/>
            </w:r>
            <w:r>
              <w:rPr>
                <w:noProof/>
                <w:webHidden/>
              </w:rPr>
              <w:t>61</w:t>
            </w:r>
            <w:r>
              <w:rPr>
                <w:noProof/>
                <w:webHidden/>
              </w:rPr>
              <w:fldChar w:fldCharType="end"/>
            </w:r>
          </w:hyperlink>
        </w:p>
        <w:p w:rsidR="007014E5" w:rsidRDefault="007014E5">
          <w:pPr>
            <w:pStyle w:val="TOC2"/>
            <w:tabs>
              <w:tab w:val="right" w:leader="dot" w:pos="9350"/>
            </w:tabs>
            <w:rPr>
              <w:rFonts w:asciiTheme="minorHAnsi" w:eastAsiaTheme="minorEastAsia" w:hAnsiTheme="minorHAnsi" w:cstheme="minorBidi"/>
              <w:noProof/>
              <w:lang w:val="en-US"/>
            </w:rPr>
          </w:pPr>
          <w:hyperlink w:anchor="_Toc176959878" w:history="1">
            <w:r w:rsidRPr="005013C8">
              <w:rPr>
                <w:rStyle w:val="Hyperlink"/>
                <w:noProof/>
              </w:rPr>
              <w:t xml:space="preserve">The EA Needs to Consider that </w:t>
            </w:r>
            <w:r w:rsidRPr="005013C8">
              <w:rPr>
                <w:rStyle w:val="Hyperlink"/>
                <w:i/>
                <w:noProof/>
              </w:rPr>
              <w:t>Stabilizing</w:t>
            </w:r>
            <w:r w:rsidRPr="005013C8">
              <w:rPr>
                <w:rStyle w:val="Hyperlink"/>
                <w:noProof/>
              </w:rPr>
              <w:t xml:space="preserve"> Forest Carbon is not a Climate Solution.</w:t>
            </w:r>
            <w:r>
              <w:rPr>
                <w:noProof/>
                <w:webHidden/>
              </w:rPr>
              <w:tab/>
            </w:r>
            <w:r>
              <w:rPr>
                <w:noProof/>
                <w:webHidden/>
              </w:rPr>
              <w:fldChar w:fldCharType="begin"/>
            </w:r>
            <w:r>
              <w:rPr>
                <w:noProof/>
                <w:webHidden/>
              </w:rPr>
              <w:instrText xml:space="preserve"> PAGEREF _Toc176959878 \h </w:instrText>
            </w:r>
            <w:r>
              <w:rPr>
                <w:noProof/>
                <w:webHidden/>
              </w:rPr>
            </w:r>
            <w:r>
              <w:rPr>
                <w:noProof/>
                <w:webHidden/>
              </w:rPr>
              <w:fldChar w:fldCharType="separate"/>
            </w:r>
            <w:r>
              <w:rPr>
                <w:noProof/>
                <w:webHidden/>
              </w:rPr>
              <w:t>69</w:t>
            </w:r>
            <w:r>
              <w:rPr>
                <w:noProof/>
                <w:webHidden/>
              </w:rPr>
              <w:fldChar w:fldCharType="end"/>
            </w:r>
          </w:hyperlink>
        </w:p>
        <w:p w:rsidR="00C67380" w:rsidRDefault="00C67380">
          <w:r>
            <w:rPr>
              <w:b/>
              <w:bCs/>
              <w:noProof/>
            </w:rPr>
            <w:fldChar w:fldCharType="end"/>
          </w:r>
        </w:p>
      </w:sdtContent>
    </w:sdt>
    <w:p w:rsidR="00F74EBF" w:rsidRDefault="00F74EBF" w:rsidP="001458B4">
      <w:pPr>
        <w:pStyle w:val="Heading2"/>
      </w:pPr>
      <w:bookmarkStart w:id="0" w:name="_Toc176959858"/>
      <w:r>
        <w:t>Introduction</w:t>
      </w:r>
      <w:bookmarkEnd w:id="0"/>
    </w:p>
    <w:p w:rsidR="000C6F99" w:rsidRPr="000C6F99" w:rsidRDefault="00966FBF" w:rsidP="000C6F99">
      <w:r w:rsidRPr="000C6F99">
        <w:t>Oregon Wild incorporates by reference the scoping comments we submitted on or about October 3</w:t>
      </w:r>
      <w:r w:rsidR="000C6F99" w:rsidRPr="000C6F99">
        <w:t>1, 2022. In particular we asked the Forest Service to develop a preferred alternative that advances the goals for each land allocation and address trade-offs, such as:</w:t>
      </w:r>
    </w:p>
    <w:p w:rsidR="000C6F99" w:rsidRDefault="000C6F99" w:rsidP="000C6F99">
      <w:pPr>
        <w:pStyle w:val="ListParagraph"/>
        <w:numPr>
          <w:ilvl w:val="0"/>
          <w:numId w:val="3"/>
        </w:numPr>
        <w:ind w:left="360"/>
      </w:pPr>
      <w:r>
        <w:t>Make restoration of biological potential carbon storage part of the purpose and need. Strive to minimize and mitigate carbon emissions associated with logging. Do not rely on the misleading analysis of carbon and climate put forth by the regional office;</w:t>
      </w:r>
    </w:p>
    <w:p w:rsidR="000C6F99" w:rsidRDefault="000C6F99" w:rsidP="000C6F99">
      <w:pPr>
        <w:pStyle w:val="ListParagraph"/>
        <w:numPr>
          <w:ilvl w:val="0"/>
          <w:numId w:val="3"/>
        </w:numPr>
        <w:ind w:left="360"/>
      </w:pPr>
      <w:r>
        <w:lastRenderedPageBreak/>
        <w:t>Conserve and restore the historic range of variability of large blocks of habitat such as unroaded areas &gt;1,000 acres (described below) and LSRs. Where possible, strategically close roads to “grow” unroaded areas;</w:t>
      </w:r>
    </w:p>
    <w:p w:rsidR="000C6F99" w:rsidRDefault="000C6F99" w:rsidP="000C6F99">
      <w:pPr>
        <w:pStyle w:val="ListParagraph"/>
        <w:numPr>
          <w:ilvl w:val="0"/>
          <w:numId w:val="3"/>
        </w:numPr>
        <w:ind w:left="360"/>
      </w:pPr>
      <w:r>
        <w:t>Maintain and enhance connections between existing late successional habitat, especially between large blocks such as the Kentucky Falls SIA, Devils Staircase Wilderness, and the uninventoried roadless areas.</w:t>
      </w:r>
    </w:p>
    <w:p w:rsidR="000C6F99" w:rsidRDefault="000C6F99" w:rsidP="000C6F99">
      <w:pPr>
        <w:pStyle w:val="ListParagraph"/>
        <w:numPr>
          <w:ilvl w:val="0"/>
          <w:numId w:val="3"/>
        </w:numPr>
        <w:ind w:left="360"/>
      </w:pPr>
      <w:r>
        <w:t>Avoid hard edges adjacent to suitable marbled murrelet habitat. Consider alternatives that retain various levels of unthinned buffers adjacent to suitable murrelet habitat to reduce nest predation on murrelets;</w:t>
      </w:r>
    </w:p>
    <w:p w:rsidR="000C6F99" w:rsidRDefault="000C6F99" w:rsidP="000C6F99">
      <w:pPr>
        <w:pStyle w:val="ListParagraph"/>
        <w:numPr>
          <w:ilvl w:val="0"/>
          <w:numId w:val="3"/>
        </w:numPr>
        <w:ind w:left="360"/>
      </w:pPr>
      <w:r>
        <w:t>Retain unthinned “skips” to ensure long-term recruitment of dead wood which is depleted by extensive thinning;</w:t>
      </w:r>
    </w:p>
    <w:p w:rsidR="000C6F99" w:rsidRDefault="000C6F99" w:rsidP="000C6F99">
      <w:pPr>
        <w:pStyle w:val="ListParagraph"/>
        <w:numPr>
          <w:ilvl w:val="0"/>
          <w:numId w:val="3"/>
        </w:numPr>
        <w:ind w:left="360"/>
      </w:pPr>
      <w:r>
        <w:t>Retain generous no-cut buffers along streams to retain long-term wood recruitment, which is especially important to build up gravel deposits in bedrock dominated streams;</w:t>
      </w:r>
    </w:p>
    <w:p w:rsidR="000C6F99" w:rsidRDefault="000C6F99" w:rsidP="000C6F99">
      <w:pPr>
        <w:pStyle w:val="ListParagraph"/>
        <w:numPr>
          <w:ilvl w:val="0"/>
          <w:numId w:val="3"/>
        </w:numPr>
        <w:ind w:left="360"/>
      </w:pPr>
      <w:r>
        <w:t>Recognize that riparian reserves are intended to benefit both aquatic and terrestrial species, and many upland species depend on abundant snags and dead wood. Retaining and recruiting dead wood is also important for late successional habitat development as a substrate for regenerating hemlock and other species in the understory. Develop alternatives that recruit abundant dead wood throughout the entire extent of riparian reserves, not just instream;</w:t>
      </w:r>
    </w:p>
    <w:p w:rsidR="000C6F99" w:rsidRDefault="000C6F99" w:rsidP="000C6F99">
      <w:pPr>
        <w:pStyle w:val="ListParagraph"/>
        <w:numPr>
          <w:ilvl w:val="0"/>
          <w:numId w:val="3"/>
        </w:numPr>
        <w:ind w:left="360"/>
      </w:pPr>
      <w:r>
        <w:t>Plan strategic road decommissioning and road storage, and minimize road construction. Focus on removing poorly located roads in riparian areas and midslope roads that interfere with hillslope processes, such as the natural movement of water, sediment and wood. If possible, try to focus on thinning dense young stands that are accessible from existing roads in order to avoid the significant adverse effects of road construction in steep terrain like this;</w:t>
      </w:r>
    </w:p>
    <w:p w:rsidR="000C6F99" w:rsidRDefault="000C6F99" w:rsidP="000C6F99">
      <w:pPr>
        <w:pStyle w:val="ListParagraph"/>
        <w:numPr>
          <w:ilvl w:val="0"/>
          <w:numId w:val="3"/>
        </w:numPr>
        <w:ind w:left="360"/>
      </w:pPr>
      <w:r>
        <w:t>Consider alternatives that retain various levels of residual basal area to achieve several objectives, recognizing that greater green tree retention will advance carbon capture and storage to mitigate climate change, and provision of habitat for spotted owl prey species, such as flying squirrels, red tree vole, and red-backed voles, and to mitigate adverse effects of thinning on wood recruitment;</w:t>
      </w:r>
    </w:p>
    <w:p w:rsidR="000C6F99" w:rsidRDefault="000C6F99" w:rsidP="000C6F99">
      <w:pPr>
        <w:pStyle w:val="ListParagraph"/>
        <w:numPr>
          <w:ilvl w:val="0"/>
          <w:numId w:val="3"/>
        </w:numPr>
        <w:ind w:left="360"/>
      </w:pPr>
      <w:r>
        <w:t xml:space="preserve">Develop a preferred alternative that implements highly variable tree spacing, including clumps and small structure-rich gaps, and retain under-represented species, such as hemlock, cedar, yew hardwoods, deciduous shrubs, etc. to help diversify wildlife food sources and complex late successional habitat conditions. Make sure these living elements of diversity are not killed by post-harvest fuel reduction; </w:t>
      </w:r>
    </w:p>
    <w:p w:rsidR="000C6F99" w:rsidRDefault="000C6F99" w:rsidP="000C6F99">
      <w:pPr>
        <w:pStyle w:val="ListParagraph"/>
        <w:numPr>
          <w:ilvl w:val="0"/>
          <w:numId w:val="3"/>
        </w:numPr>
        <w:ind w:left="360"/>
      </w:pPr>
      <w:r>
        <w:t xml:space="preserve">The pre-scoping materials indicate an interest in thinning to below 40% canopy cover to stimulate understory and mid-story and provide “occlusion” for flying squirrels. This will have significant trade-offs. </w:t>
      </w:r>
    </w:p>
    <w:p w:rsidR="000C6F99" w:rsidRDefault="000C6F99" w:rsidP="000C6F99">
      <w:pPr>
        <w:pStyle w:val="ListParagraph"/>
        <w:numPr>
          <w:ilvl w:val="1"/>
          <w:numId w:val="3"/>
        </w:numPr>
        <w:ind w:left="1080"/>
      </w:pPr>
      <w:r>
        <w:t xml:space="preserve">Wilson and Forsman have shown that that flying squirrel populations are adversely affected by thinning and take a long time to recover, probably because fewer stems provide less occlusion in the near term; </w:t>
      </w:r>
    </w:p>
    <w:p w:rsidR="000C6F99" w:rsidRDefault="000C6F99" w:rsidP="000C6F99">
      <w:pPr>
        <w:pStyle w:val="ListParagraph"/>
        <w:numPr>
          <w:ilvl w:val="1"/>
          <w:numId w:val="3"/>
        </w:numPr>
        <w:ind w:left="1080"/>
      </w:pPr>
      <w:r>
        <w:t>Heavy thinning exposes spotted owls to predators and territorial competitors;</w:t>
      </w:r>
    </w:p>
    <w:p w:rsidR="000C6F99" w:rsidRDefault="000C6F99" w:rsidP="000C6F99">
      <w:pPr>
        <w:pStyle w:val="ListParagraph"/>
        <w:numPr>
          <w:ilvl w:val="1"/>
          <w:numId w:val="3"/>
        </w:numPr>
        <w:ind w:left="1080"/>
      </w:pPr>
      <w:r>
        <w:lastRenderedPageBreak/>
        <w:t>Heavy thinning also causes long term reduction in dead wood recruitment which is important for late successional habitat development; and</w:t>
      </w:r>
    </w:p>
    <w:p w:rsidR="000C6F99" w:rsidRDefault="000C6F99" w:rsidP="000C6F99">
      <w:pPr>
        <w:pStyle w:val="ListParagraph"/>
        <w:numPr>
          <w:ilvl w:val="1"/>
          <w:numId w:val="3"/>
        </w:numPr>
        <w:ind w:left="1080"/>
      </w:pPr>
      <w:r>
        <w:t xml:space="preserve">Heavy thinning reduces carbon storage and increases carbon emissions. </w:t>
      </w:r>
    </w:p>
    <w:p w:rsidR="000C6F99" w:rsidRDefault="000C6F99" w:rsidP="000C6F99">
      <w:pPr>
        <w:pStyle w:val="ListParagraph"/>
        <w:numPr>
          <w:ilvl w:val="1"/>
          <w:numId w:val="3"/>
        </w:numPr>
        <w:ind w:left="1080"/>
      </w:pPr>
      <w:r>
        <w:t xml:space="preserve">Heavy thinning may also weaken the network of tree roots that stabilize slopes; </w:t>
      </w:r>
    </w:p>
    <w:p w:rsidR="000C6F99" w:rsidRDefault="000C6F99" w:rsidP="000C6F99">
      <w:pPr>
        <w:ind w:left="360"/>
      </w:pPr>
      <w:r>
        <w:t>The alleged benefits of heavy thinning can be expected to occur naturally over time through the action of natural processes, such as wind, snow/ice, insects, disease, fire, tree fall events. And, these natural created canopy gaps are better for wildlife because they retain more dead and down woody structure. To minimize and mitigate these trade-offs heavy thinning should be limited to small patches representing small subset of thinned areas. And significant unthinned patches should be retained to ensure dense cover for wildlife and adequate wood recruitment. The FS should conduct a quantitative analysis to find the optimal landscape mix of lightly thinning thinned, heavily thinned, and unthinned areas.</w:t>
      </w:r>
    </w:p>
    <w:p w:rsidR="000C6F99" w:rsidRDefault="000C6F99" w:rsidP="000C6F99">
      <w:pPr>
        <w:pStyle w:val="ListParagraph"/>
        <w:numPr>
          <w:ilvl w:val="0"/>
          <w:numId w:val="4"/>
        </w:numPr>
      </w:pPr>
      <w:r>
        <w:t>The NEPA analysis should quantify and compare the projected snag habitat with light thinning, heavy thinning, and no thinning and compare to 80% tolerance levels for those species most sensitive to the absence of abundant snags;</w:t>
      </w:r>
    </w:p>
    <w:p w:rsidR="000C6F99" w:rsidRDefault="000C6F99" w:rsidP="000C6F99">
      <w:pPr>
        <w:pStyle w:val="ListParagraph"/>
        <w:numPr>
          <w:ilvl w:val="0"/>
          <w:numId w:val="3"/>
        </w:numPr>
        <w:ind w:left="360"/>
      </w:pPr>
      <w:r>
        <w:t>Strive to find ways to enhance habitat for foothill yellow-legged frogs that does not cause significant loss of dead wood recruitment in riparian reserves.</w:t>
      </w:r>
    </w:p>
    <w:p w:rsidR="00CF2887" w:rsidRDefault="000C6F99" w:rsidP="00CF2887">
      <w:pPr>
        <w:pStyle w:val="ListParagraph"/>
        <w:numPr>
          <w:ilvl w:val="0"/>
          <w:numId w:val="3"/>
        </w:numPr>
        <w:ind w:left="360"/>
      </w:pPr>
      <w:r>
        <w:t>E</w:t>
      </w:r>
      <w:r w:rsidRPr="006D3E41">
        <w:t xml:space="preserve">arly seral </w:t>
      </w:r>
      <w:r>
        <w:t xml:space="preserve">habitat </w:t>
      </w:r>
      <w:r w:rsidRPr="006D3E41">
        <w:t xml:space="preserve">creation is not a good ecological goal </w:t>
      </w:r>
      <w:r>
        <w:t xml:space="preserve">here </w:t>
      </w:r>
      <w:r w:rsidRPr="006D3E41">
        <w:t xml:space="preserve">because </w:t>
      </w:r>
      <w:r>
        <w:t>natural processes are still creating early seral habitat. In fact, c</w:t>
      </w:r>
      <w:r w:rsidRPr="006D3E41">
        <w:t>limate driven fire is creating  lots of early seral</w:t>
      </w:r>
      <w:r>
        <w:t xml:space="preserve"> across the region</w:t>
      </w:r>
      <w:r w:rsidRPr="006D3E41">
        <w:t xml:space="preserve">, </w:t>
      </w:r>
      <w:r>
        <w:t xml:space="preserve">while </w:t>
      </w:r>
      <w:r w:rsidRPr="006D3E41">
        <w:t>making it hard</w:t>
      </w:r>
      <w:r>
        <w:t>er</w:t>
      </w:r>
      <w:r w:rsidRPr="006D3E41">
        <w:t xml:space="preserve"> to retain mature &amp; old-growth. Also</w:t>
      </w:r>
      <w:r>
        <w:t>,</w:t>
      </w:r>
      <w:r w:rsidRPr="006D3E41">
        <w:t xml:space="preserve"> early seral </w:t>
      </w:r>
      <w:r>
        <w:t xml:space="preserve">habitat </w:t>
      </w:r>
      <w:r w:rsidRPr="006D3E41">
        <w:t xml:space="preserve">created by logging is not very high quality habitat </w:t>
      </w:r>
      <w:r>
        <w:t xml:space="preserve">compared to early seral created by natural processes, </w:t>
      </w:r>
      <w:r w:rsidRPr="006D3E41">
        <w:t>because logging (unlike natural disturbances)</w:t>
      </w:r>
      <w:r>
        <w:t xml:space="preserve"> </w:t>
      </w:r>
      <w:r w:rsidRPr="006D3E41">
        <w:t>removes virtually all the dead wood</w:t>
      </w:r>
      <w:r>
        <w:t xml:space="preserve">. </w:t>
      </w:r>
    </w:p>
    <w:p w:rsidR="00CF2887" w:rsidRDefault="00CF2887" w:rsidP="00CF2887">
      <w:pPr>
        <w:pStyle w:val="ListParagraph"/>
        <w:ind w:left="0"/>
      </w:pPr>
    </w:p>
    <w:p w:rsidR="00CF2887" w:rsidRDefault="00CF2887" w:rsidP="00CF2887">
      <w:pPr>
        <w:pStyle w:val="ListParagraph"/>
        <w:ind w:left="0"/>
      </w:pPr>
      <w:r>
        <w:t>Oregon Wild is not opposed to all thinning but the Forest Service needs top use a well-informed decision-making process that accurately accounts for all the benefits and costs associated with thinning. We are opposed to this flawed decision-making process that over-estimates the benefits of thinning and under-estimates the adverse effects of thinning.</w:t>
      </w:r>
    </w:p>
    <w:p w:rsidR="00F74EBF" w:rsidRDefault="00F74EBF" w:rsidP="00F74EBF">
      <w:pPr>
        <w:pStyle w:val="Heading2"/>
      </w:pPr>
      <w:bookmarkStart w:id="1" w:name="_Toc176945889"/>
      <w:bookmarkStart w:id="2" w:name="_Toc176959859"/>
      <w:r>
        <w:t>Consider All Reasonable Alternatives.</w:t>
      </w:r>
      <w:bookmarkEnd w:id="1"/>
      <w:bookmarkEnd w:id="2"/>
    </w:p>
    <w:p w:rsidR="00F74EBF" w:rsidRDefault="00F74EBF" w:rsidP="00F74EBF">
      <w:r>
        <w:t xml:space="preserve">The North Fork Smith EA </w:t>
      </w:r>
      <w:r w:rsidR="003351D3">
        <w:t xml:space="preserve">only considered one action alternative and the no action alternative. The EA </w:t>
      </w:r>
      <w:r>
        <w:t>did not consider reasonable alternatives that would minimize and mitigate trade-offs and adverse effects</w:t>
      </w:r>
      <w:r w:rsidR="0014205E">
        <w:t xml:space="preserve"> (many of which were noted in our scoping comments)</w:t>
      </w:r>
      <w:r>
        <w:t xml:space="preserve">. Alternatives are the heart of the NEPA process. Exploring and comparing alternatives  help shed light on trade-offs and help the agency find ways of harmonizing competing objectives. </w:t>
      </w:r>
    </w:p>
    <w:p w:rsidR="00F74EBF" w:rsidRDefault="00F74EBF" w:rsidP="00F74EBF"/>
    <w:p w:rsidR="00F74EBF" w:rsidRDefault="00F74EBF" w:rsidP="00F74EBF">
      <w:r>
        <w:t xml:space="preserve">NEPA mandates that an agency “shall to the fullest extent possible: use the NEPA process to identify and assess the reasonable alternatives to proposed actions that will avoid or minimize adverse effects of these action upon the quality of the human environment.” 40 C.F.R. § 1500.2(e). NEPA also requires the agency to “study, develop, and describe appropriate alternatives to the recommended courses of action in any proposal which involves unresolved </w:t>
      </w:r>
      <w:r>
        <w:lastRenderedPageBreak/>
        <w:t xml:space="preserve">conflicts concerning alternative uses of available resources as provided by section 102(2)(E) of the Act [NEPA].”40 C.F.R. § 1501.2 (c). </w:t>
      </w:r>
    </w:p>
    <w:p w:rsidR="00F74EBF" w:rsidRDefault="00F74EBF" w:rsidP="00F74EBF">
      <w:r>
        <w:t> </w:t>
      </w:r>
    </w:p>
    <w:p w:rsidR="00F74EBF" w:rsidRDefault="00F74EBF" w:rsidP="00F74EBF">
      <w:r>
        <w:t>Environmental analysis documents must “[r]</w:t>
      </w:r>
      <w:proofErr w:type="spellStart"/>
      <w:r>
        <w:t>igorously</w:t>
      </w:r>
      <w:proofErr w:type="spellEnd"/>
      <w:r>
        <w:t xml:space="preserve"> explore and objectively evaluate all reasonable alternatives” to the project. 40 C.F.R. § 1502.14(a). The Council on Environmental Quality (CEQ), which promulgated the regulations implementing NEPA, characterizes the discussion of alternatives as “the heart of the environmental impact statement.” 40 C.F.R. § 1502.14. A </w:t>
      </w:r>
      <w:proofErr w:type="spellStart"/>
      <w:r>
        <w:t>decisionmaker</w:t>
      </w:r>
      <w:proofErr w:type="spellEnd"/>
      <w:r>
        <w:t xml:space="preserve"> must explore alternatives in sufficient enough detail to “sharply </w:t>
      </w:r>
      <w:proofErr w:type="spellStart"/>
      <w:r>
        <w:t>defin</w:t>
      </w:r>
      <w:proofErr w:type="spellEnd"/>
      <w:r>
        <w:t xml:space="preserve">[e] the issues and </w:t>
      </w:r>
      <w:proofErr w:type="spellStart"/>
      <w:r>
        <w:t>provid</w:t>
      </w:r>
      <w:proofErr w:type="spellEnd"/>
      <w:r>
        <w:t xml:space="preserve">[e] a clear basis for choice among options by the </w:t>
      </w:r>
      <w:proofErr w:type="spellStart"/>
      <w:r>
        <w:t>decisionmaker</w:t>
      </w:r>
      <w:proofErr w:type="spellEnd"/>
      <w:r>
        <w:t xml:space="preserve"> and the public.” </w:t>
      </w:r>
      <w:r>
        <w:rPr>
          <w:i/>
          <w:iCs/>
        </w:rPr>
        <w:t>Id</w:t>
      </w:r>
      <w:r>
        <w:t xml:space="preserve">. § 1502.14. All reasonable alternatives must receive a “rigorous exploration and objective evaluation... , particularly those that might enhance environmental quality or avoid some or all of the adverse environmental effects.” </w:t>
      </w:r>
      <w:r>
        <w:rPr>
          <w:i/>
          <w:iCs/>
        </w:rPr>
        <w:t>Id</w:t>
      </w:r>
      <w:r>
        <w:t xml:space="preserve">. § 1500.8(a)(4). The analysis of the alternatives must be “sufficiently detailed to reveal the agency’s comparative evaluation of the environmental benefits, costs and risks of the proposed action and each reasonable alternative.” </w:t>
      </w:r>
      <w:r>
        <w:rPr>
          <w:i/>
          <w:iCs/>
        </w:rPr>
        <w:t>Id</w:t>
      </w:r>
      <w:r>
        <w:t>.</w:t>
      </w:r>
    </w:p>
    <w:p w:rsidR="00F74EBF" w:rsidRDefault="00F74EBF" w:rsidP="00F74EBF"/>
    <w:p w:rsidR="00F74EBF" w:rsidRDefault="00F74EBF" w:rsidP="00F74EBF">
      <w:r>
        <w:t xml:space="preserve">If the NEPA document considers only a restricted range of alternatives this would violate the very purpose of NEPA’s alternative analysis requirement, which is to foster informed decision-making and full public involvement. 42 U.S.C. §§ 4331, 4332(2)(E); 40 C.F.R. § 1508.9(b). </w:t>
      </w:r>
      <w:r>
        <w:rPr>
          <w:i/>
          <w:iCs/>
        </w:rPr>
        <w:t xml:space="preserve">See also Robertson v. </w:t>
      </w:r>
      <w:proofErr w:type="spellStart"/>
      <w:r>
        <w:rPr>
          <w:i/>
          <w:iCs/>
        </w:rPr>
        <w:t>Methow</w:t>
      </w:r>
      <w:proofErr w:type="spellEnd"/>
      <w:r>
        <w:rPr>
          <w:i/>
          <w:iCs/>
        </w:rPr>
        <w:t xml:space="preserve"> Valley Citizen’s Council</w:t>
      </w:r>
      <w:r>
        <w:t xml:space="preserve">, 490 U.S. 332, 349 (1989). The Ninth Circuit stated in </w:t>
      </w:r>
      <w:r>
        <w:rPr>
          <w:i/>
          <w:iCs/>
        </w:rPr>
        <w:t>California v. Block</w:t>
      </w:r>
      <w:r>
        <w:t xml:space="preserve"> that “[a]s with the standard employed to evaluate the detail that NEPA requires in discussing a decision’s environmental consequences, the touchstone for our inquiry is whether an EIS’s selection and discussion of alternatives fosters informed decision-making and informed public participation.” </w:t>
      </w:r>
      <w:r>
        <w:rPr>
          <w:i/>
          <w:iCs/>
        </w:rPr>
        <w:t>California v. Block</w:t>
      </w:r>
      <w:r>
        <w:t>, 690 F.2d 753, 767 (9</w:t>
      </w:r>
      <w:r>
        <w:rPr>
          <w:vertAlign w:val="superscript"/>
        </w:rPr>
        <w:t>th</w:t>
      </w:r>
      <w:r>
        <w:t xml:space="preserve"> Cir. 1982). </w:t>
      </w:r>
    </w:p>
    <w:p w:rsidR="00F74EBF" w:rsidRDefault="00F74EBF" w:rsidP="00F74EBF"/>
    <w:p w:rsidR="00F74EBF" w:rsidRDefault="00F74EBF" w:rsidP="00F74EBF">
      <w:r>
        <w:t xml:space="preserve">The purpose of the multiple alternative analysis requirement is to insist that no major federal project be undertaken without intense consideration of other more ecologically sound courses of action, including shelving the entire project, or of accomplishing the same result by entirely different means. </w:t>
      </w:r>
      <w:r>
        <w:rPr>
          <w:i/>
          <w:iCs/>
        </w:rPr>
        <w:t>Environmental Defense Fund v. Corps of Engineers</w:t>
      </w:r>
      <w:r>
        <w:t>, 492 F.2d 1123, 1135 (5</w:t>
      </w:r>
      <w:r>
        <w:rPr>
          <w:vertAlign w:val="superscript"/>
        </w:rPr>
        <w:t>th</w:t>
      </w:r>
      <w:r>
        <w:t xml:space="preserve"> Cir. 1974); </w:t>
      </w:r>
      <w:proofErr w:type="spellStart"/>
      <w:r>
        <w:rPr>
          <w:i/>
          <w:iCs/>
        </w:rPr>
        <w:t>Methow</w:t>
      </w:r>
      <w:proofErr w:type="spellEnd"/>
      <w:r>
        <w:rPr>
          <w:i/>
          <w:iCs/>
        </w:rPr>
        <w:t xml:space="preserve"> Valley Citizens Council v. Regional Forester</w:t>
      </w:r>
      <w:r>
        <w:t>, 833 F.2d 810 (9</w:t>
      </w:r>
      <w:r>
        <w:rPr>
          <w:vertAlign w:val="superscript"/>
        </w:rPr>
        <w:t>th</w:t>
      </w:r>
      <w:r>
        <w:t xml:space="preserve"> Cir. 1987), </w:t>
      </w:r>
      <w:proofErr w:type="spellStart"/>
      <w:r>
        <w:rPr>
          <w:i/>
          <w:iCs/>
        </w:rPr>
        <w:t>rev’d</w:t>
      </w:r>
      <w:proofErr w:type="spellEnd"/>
      <w:r>
        <w:rPr>
          <w:i/>
          <w:iCs/>
        </w:rPr>
        <w:t xml:space="preserve"> on other grounds</w:t>
      </w:r>
      <w:r>
        <w:t xml:space="preserve">, 490 U.S. 332 (1989) (agency must consider alternative sites for a project). The Ninth Circuit has concluded that “the existence of a viable but unexamined alternative renders an environmental impact statement inadequate.” </w:t>
      </w:r>
      <w:r>
        <w:rPr>
          <w:i/>
          <w:iCs/>
        </w:rPr>
        <w:t>Alaska Wilderness Recreation &amp; Tourism v. Morrison</w:t>
      </w:r>
      <w:r>
        <w:t>, 67 F.3d 723, 729 (9</w:t>
      </w:r>
      <w:r>
        <w:rPr>
          <w:vertAlign w:val="superscript"/>
        </w:rPr>
        <w:t>th</w:t>
      </w:r>
      <w:r>
        <w:t xml:space="preserve"> Cir.1995). </w:t>
      </w:r>
    </w:p>
    <w:p w:rsidR="00F74EBF" w:rsidRDefault="00F74EBF" w:rsidP="00F74EBF">
      <w:r>
        <w:t> </w:t>
      </w:r>
    </w:p>
    <w:p w:rsidR="00F74EBF" w:rsidRDefault="00F74EBF" w:rsidP="00F74EBF">
      <w:r>
        <w:t xml:space="preserve">Other courts have stated that in order to comply with NEPA, “the discussion of alternatives ‘must go beyond mere assertions’ and provide sufficient data and reasoning to enable a reader to evaluate the analysis and conclusions and to comment on the EIS.” </w:t>
      </w:r>
      <w:r>
        <w:rPr>
          <w:i/>
          <w:iCs/>
        </w:rPr>
        <w:t xml:space="preserve">Citizens Against Toxic Sprays v. </w:t>
      </w:r>
      <w:proofErr w:type="spellStart"/>
      <w:r>
        <w:rPr>
          <w:i/>
          <w:iCs/>
        </w:rPr>
        <w:t>Bergland</w:t>
      </w:r>
      <w:proofErr w:type="spellEnd"/>
      <w:r>
        <w:t xml:space="preserve">, 428 F. Supp. 908, 933 (D. Or. 1977). A detailed and careful analysis of the relative merits and demerits of the proposed action and possible alternatives is of such importance in the NEPA scheme that it has been described as the “linchpin” of the environmental analysis. For this reason, the discussion of alternatives must be undertaken in good faith; it is not to be employed to justify a decision already reached. </w:t>
      </w:r>
      <w:r>
        <w:rPr>
          <w:i/>
          <w:iCs/>
        </w:rPr>
        <w:t>Id</w:t>
      </w:r>
      <w:r>
        <w:t>.</w:t>
      </w:r>
    </w:p>
    <w:p w:rsidR="00F74EBF" w:rsidRDefault="00F74EBF" w:rsidP="00F74EBF"/>
    <w:p w:rsidR="00F74EBF" w:rsidRDefault="00F74EBF" w:rsidP="00F74EBF">
      <w:r>
        <w:lastRenderedPageBreak/>
        <w:t xml:space="preserve">"An alternative may not be disregarded merely because it does not offer a complete solution to the problem."  Citizens Against Toxic Sprays v. </w:t>
      </w:r>
      <w:proofErr w:type="spellStart"/>
      <w:r>
        <w:t>Bergland</w:t>
      </w:r>
      <w:proofErr w:type="spellEnd"/>
      <w:r>
        <w:t>, 428 F. Supp. 908. 933 (D. Or. 1977).  As one court explained, "[o]</w:t>
      </w:r>
      <w:proofErr w:type="spellStart"/>
      <w:r>
        <w:t>bviously</w:t>
      </w:r>
      <w:proofErr w:type="spellEnd"/>
      <w:r>
        <w:t xml:space="preserve">, any genuine alternative to a proposed action will not fully accomplish all of the goals of the original proposal. One of the reasons that Congress has required agencies to set out and evaluate alternative actions is to give perspective on the environmental costs, and the social necessity, of going ahead with the original proposal."   </w:t>
      </w:r>
      <w:r w:rsidRPr="007A257E">
        <w:rPr>
          <w:i/>
        </w:rPr>
        <w:t xml:space="preserve">Town of Matthews v. United States </w:t>
      </w:r>
      <w:proofErr w:type="spellStart"/>
      <w:r w:rsidRPr="007A257E">
        <w:rPr>
          <w:i/>
        </w:rPr>
        <w:t>Dept</w:t>
      </w:r>
      <w:proofErr w:type="spellEnd"/>
      <w:r w:rsidRPr="007A257E">
        <w:rPr>
          <w:i/>
        </w:rPr>
        <w:t xml:space="preserve"> of Transp.</w:t>
      </w:r>
      <w:r>
        <w:t>, 527 F. Supp. 1055, 1058 (W.D.N.C. 1981).</w:t>
      </w:r>
    </w:p>
    <w:p w:rsidR="00F74EBF" w:rsidRDefault="00F74EBF" w:rsidP="00F74EBF"/>
    <w:p w:rsidR="00F74EBF" w:rsidRDefault="00F74EBF" w:rsidP="00F74EBF">
      <w:r>
        <w:t xml:space="preserve">The agency often says that removing medium and large trees is often necessary to ensure a viable timber sale even though the same medium and large trees need to be retained for late successional forest habitat characteristics, dead wood recruitment, to suppress the growth of ladder fuels, and to maintain a cool-moist microclimate that helps mitigate fire hazard. These conflicts were brought to light in PNW Science Findings. </w:t>
      </w:r>
      <w:hyperlink r:id="rId9" w:history="1">
        <w:r>
          <w:rPr>
            <w:rStyle w:val="Hyperlink"/>
          </w:rPr>
          <w:t>http://www.fs.fed.us/pnw/sciencef/scifi85.pdf</w:t>
        </w:r>
      </w:hyperlink>
      <w:r>
        <w:t xml:space="preserve"> (“requiring landscape treatments to earn a profit negatively impacted both habitat and fire objectives”). When economic objectives conflict with ecological objectives and fire hazard objectives, the agency is obligated to consider NEPA alternatives such as reallocating funds within the agency’s existing budget or asking Congress for additional appropriations to allow the agency to better balance competing objectives. See </w:t>
      </w:r>
      <w:r>
        <w:rPr>
          <w:u w:val="single"/>
        </w:rPr>
        <w:t>Center of Biological Diversity v. Rey</w:t>
      </w:r>
      <w:r>
        <w:t>, (9</w:t>
      </w:r>
      <w:r>
        <w:rPr>
          <w:vertAlign w:val="superscript"/>
        </w:rPr>
        <w:t>th</w:t>
      </w:r>
      <w:r>
        <w:t xml:space="preserve"> Circ, May 14, 2008) </w:t>
      </w:r>
      <w:hyperlink r:id="rId10" w:history="1">
        <w:r w:rsidRPr="00FD4696">
          <w:rPr>
            <w:rStyle w:val="Hyperlink"/>
          </w:rPr>
          <w:t>http://web.archive.org/web/20081018102407/http://www.ca9.uscourts.gov/ca9/newopinions.nsf/BBADBE769F43A66D88257449005521AE/$file/0716892.pdf</w:t>
        </w:r>
      </w:hyperlink>
      <w:r>
        <w:t xml:space="preserve"> </w:t>
      </w:r>
    </w:p>
    <w:p w:rsidR="00F74EBF" w:rsidRDefault="00F74EBF" w:rsidP="00F74EBF"/>
    <w:p w:rsidR="00F74EBF" w:rsidRDefault="00F74EBF" w:rsidP="00F74EBF">
      <w:r>
        <w:t xml:space="preserve">"The existence of a viable but unexamined alternative renders an EA inadequate." </w:t>
      </w:r>
      <w:r>
        <w:rPr>
          <w:i/>
        </w:rPr>
        <w:t>Western</w:t>
      </w:r>
      <w:r w:rsidRPr="000E07B6">
        <w:rPr>
          <w:i/>
        </w:rPr>
        <w:t xml:space="preserve"> Watersheds v. Abbey</w:t>
      </w:r>
      <w:r>
        <w:t xml:space="preserve">, 719 F.3d. at 1050. </w:t>
      </w:r>
      <w:r w:rsidRPr="00AD00F6">
        <w:rPr>
          <w:i/>
        </w:rPr>
        <w:t xml:space="preserve">North Idaho </w:t>
      </w:r>
      <w:proofErr w:type="spellStart"/>
      <w:r w:rsidRPr="00AD00F6">
        <w:rPr>
          <w:i/>
        </w:rPr>
        <w:t>Cmty</w:t>
      </w:r>
      <w:proofErr w:type="spellEnd"/>
      <w:r w:rsidRPr="00AD00F6">
        <w:rPr>
          <w:i/>
        </w:rPr>
        <w:t>. Action Network</w:t>
      </w:r>
      <w:r>
        <w:t xml:space="preserve">, 545 F.3d at 1153 (both EA and EIS must consider all reasonable alternatives, but EIS must provide more detail and analysis of those alternatives). When the agency clearly has independent knowledge of specific issues or concerns, "there is no need for a commenter to point them out specifically in order to preserve its ability to challenge a proposed action." Id. at 765; </w:t>
      </w:r>
      <w:r w:rsidRPr="00AD00F6">
        <w:rPr>
          <w:i/>
        </w:rPr>
        <w:t>'</w:t>
      </w:r>
      <w:proofErr w:type="spellStart"/>
      <w:r w:rsidRPr="00AD00F6">
        <w:rPr>
          <w:i/>
        </w:rPr>
        <w:t>Ilio'ulaokalani</w:t>
      </w:r>
      <w:proofErr w:type="spellEnd"/>
      <w:r w:rsidRPr="00AD00F6">
        <w:rPr>
          <w:i/>
        </w:rPr>
        <w:t xml:space="preserve"> Coal. v. Rumsfeld</w:t>
      </w:r>
      <w:r>
        <w:t xml:space="preserve">, 464 F.3d 1083, 1093 (9th Cir. 2006); see </w:t>
      </w:r>
      <w:r w:rsidRPr="00AD00F6">
        <w:rPr>
          <w:i/>
        </w:rPr>
        <w:t>Friends of the Clearwater v. Dombeck</w:t>
      </w:r>
      <w:r>
        <w:t>, 222 F.3d 552, 559 (9th Cir. 2000) ("Compliance with NEPA is a primary duty of every federal agency; fulfillment of this vital responsibility should not depend on the vigilance and limited resources of environmental plaintiffs").</w:t>
      </w:r>
    </w:p>
    <w:p w:rsidR="00F74EBF" w:rsidRDefault="00F74EBF" w:rsidP="00F74EBF"/>
    <w:p w:rsidR="00F74EBF" w:rsidRDefault="00F74EBF" w:rsidP="00F74EBF">
      <w:r>
        <w:t xml:space="preserve">It is not enough to consider just one action alternative as BLM often does. The CEQ regulations specifically require that Environmental Assessments shall follow the alternatives language in NEPA. </w:t>
      </w:r>
    </w:p>
    <w:p w:rsidR="00F74EBF" w:rsidRDefault="00F74EBF" w:rsidP="00F74EBF">
      <w:pPr>
        <w:ind w:left="720"/>
      </w:pPr>
      <w:r>
        <w:t>40 CFR § 1508.9</w:t>
      </w:r>
    </w:p>
    <w:p w:rsidR="00F74EBF" w:rsidRDefault="00F74EBF" w:rsidP="00F74EBF">
      <w:pPr>
        <w:pStyle w:val="BodyTextIndent"/>
      </w:pPr>
      <w:r>
        <w:t>"Environmental Assessment":</w:t>
      </w:r>
    </w:p>
    <w:p w:rsidR="00F74EBF" w:rsidRDefault="00F74EBF" w:rsidP="00F74EBF">
      <w:pPr>
        <w:ind w:left="720"/>
      </w:pPr>
      <w:r>
        <w:t>…</w:t>
      </w:r>
    </w:p>
    <w:p w:rsidR="00F74EBF" w:rsidRDefault="00F74EBF" w:rsidP="00F74EBF">
      <w:pPr>
        <w:ind w:left="720"/>
      </w:pPr>
      <w:r>
        <w:t xml:space="preserve">(b) Shall include brief discussions of the need for the proposal, of </w:t>
      </w:r>
      <w:r>
        <w:rPr>
          <w:b/>
        </w:rPr>
        <w:t>alternatives as required by sec. 102(2)(E)</w:t>
      </w:r>
      <w:r>
        <w:t>, of the environmental impacts of the proposed action and alternatives …”</w:t>
      </w:r>
    </w:p>
    <w:p w:rsidR="00F74EBF" w:rsidRDefault="00F74EBF" w:rsidP="00F74EBF"/>
    <w:p w:rsidR="00F74EBF" w:rsidRDefault="00F74EBF" w:rsidP="00F74EBF">
      <w:r>
        <w:rPr>
          <w:rStyle w:val="apple-style-span"/>
          <w:color w:val="222222"/>
          <w:szCs w:val="24"/>
        </w:rPr>
        <w:t xml:space="preserve">The “alternatives provision” of 42 U.S.C. § 4332(2)(E) applies whether an agency is preparing an EIS or an EA and requires the agency to give full and meaningful consideration to all reasonable </w:t>
      </w:r>
      <w:r>
        <w:rPr>
          <w:rStyle w:val="apple-style-span"/>
          <w:color w:val="222222"/>
          <w:szCs w:val="24"/>
        </w:rPr>
        <w:lastRenderedPageBreak/>
        <w:t>alternatives. </w:t>
      </w:r>
      <w:r>
        <w:rPr>
          <w:i/>
          <w:iCs/>
          <w:color w:val="222222"/>
          <w:szCs w:val="24"/>
        </w:rPr>
        <w:t>Native Ecosystems Council v. U.S. Forest Service,</w:t>
      </w:r>
      <w:r>
        <w:rPr>
          <w:rStyle w:val="apple-converted-space"/>
          <w:color w:val="222222"/>
          <w:szCs w:val="24"/>
        </w:rPr>
        <w:t> </w:t>
      </w:r>
      <w:r>
        <w:rPr>
          <w:rStyle w:val="apple-style-span"/>
          <w:color w:val="222222"/>
          <w:szCs w:val="24"/>
        </w:rPr>
        <w:t>428 F.3d 1233, 1245 (9th Cir. 2005);</w:t>
      </w:r>
      <w:r>
        <w:rPr>
          <w:rStyle w:val="apple-converted-space"/>
          <w:color w:val="222222"/>
          <w:szCs w:val="24"/>
        </w:rPr>
        <w:t> </w:t>
      </w:r>
      <w:r>
        <w:rPr>
          <w:i/>
          <w:iCs/>
          <w:color w:val="222222"/>
          <w:szCs w:val="24"/>
        </w:rPr>
        <w:t>see Bob Marshall Alliance v. Hodel</w:t>
      </w:r>
      <w:r>
        <w:rPr>
          <w:rStyle w:val="apple-style-span"/>
          <w:color w:val="222222"/>
          <w:szCs w:val="24"/>
        </w:rPr>
        <w:t xml:space="preserve">, 852 F.2d 1223, 1229 (9th Cir. 1988) (The alternatives requirement is triggered where unresolved conflicts as to the proper use of resources exist, whether or not an EIS is required). </w:t>
      </w:r>
      <w:r>
        <w:rPr>
          <w:rStyle w:val="apple-style-span"/>
          <w:i/>
          <w:color w:val="222222"/>
          <w:szCs w:val="24"/>
        </w:rPr>
        <w:t>Te-Moak Tribe v. Interior, 608 F.3d 592, 601-602 (9th Cir. 2010)</w:t>
      </w:r>
      <w:r>
        <w:rPr>
          <w:rStyle w:val="apple-style-span"/>
          <w:color w:val="222222"/>
          <w:szCs w:val="24"/>
        </w:rPr>
        <w:t xml:space="preserve"> (“Agencies are required to consider alternatives in both EISs and EAs and must give full and meaningful consideration to all reasonable alternatives.”)</w:t>
      </w:r>
    </w:p>
    <w:p w:rsidR="00F74EBF" w:rsidRDefault="00F74EBF" w:rsidP="00F74EBF"/>
    <w:p w:rsidR="00F74EBF" w:rsidRDefault="00F74EBF" w:rsidP="00F74EBF">
      <w:pPr>
        <w:ind w:left="720"/>
      </w:pPr>
      <w:r>
        <w:rPr>
          <w:rStyle w:val="apple-style-span"/>
          <w:color w:val="222222"/>
          <w:szCs w:val="24"/>
        </w:rPr>
        <w:t>Consideration of Alternatives</w:t>
      </w:r>
    </w:p>
    <w:p w:rsidR="00F74EBF" w:rsidRDefault="00F74EBF" w:rsidP="00F74EBF"/>
    <w:p w:rsidR="00F74EBF" w:rsidRDefault="00F74EBF" w:rsidP="00F74EBF">
      <w:pPr>
        <w:ind w:left="720"/>
      </w:pPr>
      <w:r>
        <w:rPr>
          <w:rStyle w:val="apple-style-span"/>
          <w:color w:val="222222"/>
          <w:szCs w:val="24"/>
        </w:rPr>
        <w:t xml:space="preserve">"[O]ne important ingredient of an EIS is the discussion of steps that can be taken to mitigate adverse environmental consequences" of a proposed action. Robertson, 490 U.S. at 351. As one aspect of evaluating a proposed course of action under NEPA, the agency has a duty "to study all alternatives that appear reasonable and appropriate for study... , as well as significant alternatives suggested by other agencies or the public during the comment period." Roosevelt Campobello Int'l Park </w:t>
      </w:r>
      <w:proofErr w:type="spellStart"/>
      <w:r>
        <w:rPr>
          <w:rStyle w:val="apple-style-span"/>
          <w:color w:val="222222"/>
          <w:szCs w:val="24"/>
        </w:rPr>
        <w:t>Comm'n</w:t>
      </w:r>
      <w:proofErr w:type="spellEnd"/>
      <w:r>
        <w:rPr>
          <w:rStyle w:val="apple-style-span"/>
          <w:color w:val="222222"/>
          <w:szCs w:val="24"/>
        </w:rPr>
        <w:t xml:space="preserve"> v. United States EPA, 684 F.2d 1041, 1047 (1st Cir. 1982) (quotations omitted); Valley Citizens for a Safe </w:t>
      </w:r>
      <w:proofErr w:type="spellStart"/>
      <w:r>
        <w:rPr>
          <w:rStyle w:val="apple-style-span"/>
          <w:color w:val="222222"/>
          <w:szCs w:val="24"/>
        </w:rPr>
        <w:t>Env't</w:t>
      </w:r>
      <w:proofErr w:type="spellEnd"/>
      <w:r>
        <w:rPr>
          <w:rStyle w:val="apple-style-span"/>
          <w:color w:val="222222"/>
          <w:szCs w:val="24"/>
        </w:rPr>
        <w:t xml:space="preserve"> v. Aldridge, 886 F.2d 458, 462 (1st Cir. 1989); City of Carmel-By-The-Sea v. U.S. Dept. of Transp., 95 F.3d 892, 903 (9th Cir. 1996).</w:t>
      </w:r>
    </w:p>
    <w:p w:rsidR="00F74EBF" w:rsidRDefault="00F74EBF" w:rsidP="00F74EBF">
      <w:pPr>
        <w:ind w:left="720"/>
      </w:pPr>
    </w:p>
    <w:p w:rsidR="00F74EBF" w:rsidRDefault="00F74EBF" w:rsidP="00F74EBF">
      <w:pPr>
        <w:ind w:left="720"/>
      </w:pPr>
      <w:r>
        <w:rPr>
          <w:rStyle w:val="apple-style-span"/>
          <w:color w:val="222222"/>
          <w:szCs w:val="24"/>
        </w:rPr>
        <w:t>As stated in the Council on Environmental Quality ("CEQ") regulations implementing NEPA, the consideration of alternatives is "the heart of the environmental impact statement." 40 C.F.R. § 1502.14. These implementing regulations are entitled to substantial deference. Robertson, 490 U.S. at 355 (citing Andrus v. Sierra Club, 442 U.S. 347, 358 (1979)). The regulations require that the EIS "[r]</w:t>
      </w:r>
      <w:proofErr w:type="spellStart"/>
      <w:r>
        <w:rPr>
          <w:rStyle w:val="apple-style-span"/>
          <w:color w:val="222222"/>
          <w:szCs w:val="24"/>
        </w:rPr>
        <w:t>igorously</w:t>
      </w:r>
      <w:proofErr w:type="spellEnd"/>
      <w:r>
        <w:rPr>
          <w:rStyle w:val="apple-style-span"/>
          <w:color w:val="222222"/>
          <w:szCs w:val="24"/>
        </w:rPr>
        <w:t xml:space="preserve"> explore and objectively evaluate all reasonable alternatives, and for alternatives which were eliminated from detailed study, briefly discuss the reasons for their having been eliminated." 40 C.F.R. § 1502.14(a). It is "absolutely essential to the NEPA process that the </w:t>
      </w:r>
      <w:proofErr w:type="spellStart"/>
      <w:r>
        <w:rPr>
          <w:rStyle w:val="apple-style-span"/>
          <w:color w:val="222222"/>
          <w:szCs w:val="24"/>
        </w:rPr>
        <w:t>decisionmaker</w:t>
      </w:r>
      <w:proofErr w:type="spellEnd"/>
      <w:r>
        <w:rPr>
          <w:rStyle w:val="apple-style-span"/>
          <w:color w:val="222222"/>
          <w:szCs w:val="24"/>
        </w:rPr>
        <w:t xml:space="preserve"> be provided with a detailed and careful analysis of the relative environmental merits and demerits of the proposed action and possible alternatives, a requirement that we have characterized as 'the linchpin of the entire impact statement.'" NRDC v. Callaway, 524 F.2d 79, 92 (2d Cir. 1975) (citation omitted); see Silva v. Lynn, 482 F.2d at 1285; All Indian Pueblo Council v. United States, 975 F.2d 1437, 1444 (10th Cir. 1992) (holding that a thorough discussion of the alternatives is "imperative"). "The 'existence of a viable but unexamined alternative renders an environmental impact statement inadequate.'" Resources Ltd. v. Robertson, 35 F.3d 1300, 1307 (9th Cir. 1993) (quoting Idaho Conservation League v. </w:t>
      </w:r>
      <w:proofErr w:type="spellStart"/>
      <w:r>
        <w:rPr>
          <w:rStyle w:val="apple-style-span"/>
          <w:color w:val="222222"/>
          <w:szCs w:val="24"/>
        </w:rPr>
        <w:t>Mumma</w:t>
      </w:r>
      <w:proofErr w:type="spellEnd"/>
      <w:r>
        <w:rPr>
          <w:rStyle w:val="apple-style-span"/>
          <w:color w:val="222222"/>
          <w:szCs w:val="24"/>
        </w:rPr>
        <w:t>, 956 F.2d 1508, 1519 (9th Cir. 1992)); see Grazing Fields Farm v. Goldschmidt, 626 F.2d 1068, 1072 (1st Cir. 1980) (Even the existence of supportive studies and memoranda contained in the administrative record but not incorporated in the EIS cannot "bring into compliance with NEPA an EIS that by itself is inadequate."). Because of the importance of NEPA's procedural and informational aspects, if the agency fails to properly circulate the required issues for review by interested parties, then the EIS is insufficient even if the agency's actual decision was informed and well-reasoned. Grazing Fields Farm, 626 F.2d at 1072; see Massachusetts v. Watt, 716 F.2d 946, 951 (1st Cir. 1983).</w:t>
      </w:r>
    </w:p>
    <w:p w:rsidR="00F74EBF" w:rsidRDefault="00F74EBF" w:rsidP="00F74EBF">
      <w:r>
        <w:lastRenderedPageBreak/>
        <w:t xml:space="preserve">James C. Kozlowski. </w:t>
      </w:r>
      <w:r w:rsidRPr="00A81B53">
        <w:t>NEPA/EIS general principles highlighted</w:t>
      </w:r>
      <w:r>
        <w:t xml:space="preserve">. PRLS 501, Introduction to Natural Resources Law. Spring Semester 2017. </w:t>
      </w:r>
      <w:hyperlink r:id="rId11" w:history="1">
        <w:r w:rsidRPr="00B07FC3">
          <w:rPr>
            <w:rStyle w:val="Hyperlink"/>
          </w:rPr>
          <w:t>https://mason.gmu.edu/~jkozlows/nepants.htm</w:t>
        </w:r>
      </w:hyperlink>
      <w:r>
        <w:t xml:space="preserve"> </w:t>
      </w:r>
    </w:p>
    <w:p w:rsidR="001F29C6" w:rsidRDefault="0054102F" w:rsidP="001F29C6">
      <w:pPr>
        <w:pStyle w:val="Heading2"/>
      </w:pPr>
      <w:bookmarkStart w:id="3" w:name="_Toc176959860"/>
      <w:r>
        <w:t xml:space="preserve">The EA Needs to Consider the Benefits of Conserving </w:t>
      </w:r>
      <w:r w:rsidR="001F29C6">
        <w:t>Unroaded Areas</w:t>
      </w:r>
      <w:bookmarkEnd w:id="3"/>
    </w:p>
    <w:p w:rsidR="009A4A4D" w:rsidRDefault="009A4A4D" w:rsidP="009A4A4D">
      <w:pPr>
        <w:pStyle w:val="Default"/>
        <w:rPr>
          <w:rFonts w:ascii="Georgia" w:hAnsi="Georgia"/>
        </w:rPr>
      </w:pPr>
      <w:r w:rsidRPr="009A4A4D">
        <w:rPr>
          <w:rFonts w:ascii="Georgia" w:hAnsi="Georgia"/>
        </w:rPr>
        <w:t>This project’s purpose and need includes restoring large blocks of unfragmented habitat</w:t>
      </w:r>
      <w:r>
        <w:rPr>
          <w:rFonts w:ascii="Georgia" w:hAnsi="Georgia"/>
        </w:rPr>
        <w:t xml:space="preserve"> to address landscape degradation caused by past practices-</w:t>
      </w:r>
    </w:p>
    <w:p w:rsidR="009A4A4D" w:rsidRDefault="009A4A4D" w:rsidP="009A4A4D">
      <w:pPr>
        <w:pStyle w:val="Default"/>
        <w:ind w:left="720"/>
        <w:rPr>
          <w:rFonts w:ascii="Georgia" w:hAnsi="Georgia"/>
        </w:rPr>
      </w:pPr>
      <w:r w:rsidRPr="009A4A4D">
        <w:rPr>
          <w:rFonts w:ascii="Georgia" w:hAnsi="Georgia"/>
        </w:rPr>
        <w:t>Historically, large patches of trees up to several hundred thousand acres in size dominated the landscape of the Siuslaw National Forest. Fragmentation occurred in the North Fork Smith project area because of historic clearcutting roughly 35 to 70 years ago. These cutting units were spread across the watershed. The result was that large patches of trees decreased dramatically, fragmenting the landscape. This fragmentation has impacted habitat for late successional and old-growth related species including the northern spotted owl.</w:t>
      </w:r>
    </w:p>
    <w:p w:rsidR="009A4A4D" w:rsidRDefault="009A4A4D" w:rsidP="009A4A4D">
      <w:pPr>
        <w:pStyle w:val="Default"/>
        <w:rPr>
          <w:rFonts w:ascii="Georgia" w:hAnsi="Georgia"/>
        </w:rPr>
      </w:pPr>
    </w:p>
    <w:p w:rsidR="001F29C6" w:rsidRPr="009A4A4D" w:rsidRDefault="009A4A4D" w:rsidP="009A4A4D">
      <w:pPr>
        <w:pStyle w:val="Default"/>
        <w:rPr>
          <w:rFonts w:ascii="Georgia" w:hAnsi="Georgia"/>
          <w:sz w:val="20"/>
          <w:szCs w:val="20"/>
        </w:rPr>
      </w:pPr>
      <w:r>
        <w:rPr>
          <w:rFonts w:ascii="Georgia" w:hAnsi="Georgia"/>
        </w:rPr>
        <w:t xml:space="preserve">Oregon Wild’s </w:t>
      </w:r>
      <w:r w:rsidR="001F29C6" w:rsidRPr="009A4A4D">
        <w:rPr>
          <w:rFonts w:ascii="Georgia" w:hAnsi="Georgia"/>
        </w:rPr>
        <w:t>scoping comments highlighted the need to conserve rare and under-represented unroaded a</w:t>
      </w:r>
      <w:r w:rsidRPr="009A4A4D">
        <w:rPr>
          <w:rFonts w:ascii="Georgia" w:hAnsi="Georgia"/>
        </w:rPr>
        <w:t xml:space="preserve">reas in the Oregon Coast Range, but the </w:t>
      </w:r>
      <w:r w:rsidR="00F205A4">
        <w:rPr>
          <w:rFonts w:ascii="Georgia" w:hAnsi="Georgia"/>
        </w:rPr>
        <w:t xml:space="preserve">EA </w:t>
      </w:r>
      <w:r w:rsidRPr="009A4A4D">
        <w:rPr>
          <w:rFonts w:ascii="Georgia" w:hAnsi="Georgia"/>
        </w:rPr>
        <w:t>Response-to-Comment dismisses the use of unroaded areas to meet the purpose and need by saying “There are no forest-wide or management</w:t>
      </w:r>
      <w:r>
        <w:rPr>
          <w:rFonts w:ascii="Georgia" w:hAnsi="Georgia"/>
        </w:rPr>
        <w:t xml:space="preserve"> </w:t>
      </w:r>
      <w:r w:rsidRPr="009A4A4D">
        <w:rPr>
          <w:rFonts w:ascii="Georgia" w:hAnsi="Georgia"/>
        </w:rPr>
        <w:t>area standards specific to unroaded areas in the</w:t>
      </w:r>
      <w:r>
        <w:rPr>
          <w:rFonts w:ascii="Georgia" w:hAnsi="Georgia"/>
        </w:rPr>
        <w:t xml:space="preserve"> </w:t>
      </w:r>
      <w:r w:rsidRPr="009A4A4D">
        <w:rPr>
          <w:rFonts w:ascii="Georgia" w:hAnsi="Georgia"/>
          <w:lang w:val="en"/>
        </w:rPr>
        <w:t>Siuslaw Forest Plan or the Northwest Forest Plan.</w:t>
      </w:r>
      <w:r>
        <w:rPr>
          <w:rFonts w:ascii="Georgia" w:hAnsi="Georgia"/>
          <w:lang w:val="en"/>
        </w:rPr>
        <w:t xml:space="preserve"> </w:t>
      </w:r>
      <w:r w:rsidRPr="009A4A4D">
        <w:rPr>
          <w:rFonts w:ascii="Georgia" w:hAnsi="Georgia"/>
        </w:rPr>
        <w:t>Unroaded areas are managed consistent with forest-wide standards and guidelines and by designated Forest Plan management area allocations.”</w:t>
      </w:r>
    </w:p>
    <w:p w:rsidR="001F29C6" w:rsidRDefault="001F29C6" w:rsidP="001F29C6"/>
    <w:p w:rsidR="001F29C6" w:rsidRDefault="001F29C6" w:rsidP="001F29C6">
      <w:r>
        <w:t>Oregon Wild has identified several large (&gt;1,000 acre) areas without roads and without significant evidence of past logging. These areas are ecologically significant and deserve to be protected. Large blocks of habitat are a restoration goals of the Northwest Forest Plan. Large blocks of habitat are an important part of the historic range of variability that wildlife evolved with and the FS should strive to restore those conditions.</w:t>
      </w:r>
    </w:p>
    <w:p w:rsidR="001F29C6" w:rsidRDefault="001F29C6" w:rsidP="001F29C6"/>
    <w:p w:rsidR="001F29C6" w:rsidRDefault="001F29C6" w:rsidP="001F29C6">
      <w:r>
        <w:rPr>
          <w:noProof/>
          <w:lang w:val="en-US"/>
        </w:rPr>
        <w:lastRenderedPageBreak/>
        <w:drawing>
          <wp:inline distT="0" distB="0" distL="0" distR="0" wp14:anchorId="0ACBF4E5" wp14:editId="4D7E9C9A">
            <wp:extent cx="3177317" cy="3886200"/>
            <wp:effectExtent l="0" t="0" r="444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178468" cy="3887608"/>
                    </a:xfrm>
                    <a:prstGeom prst="rect">
                      <a:avLst/>
                    </a:prstGeom>
                  </pic:spPr>
                </pic:pic>
              </a:graphicData>
            </a:graphic>
          </wp:inline>
        </w:drawing>
      </w:r>
    </w:p>
    <w:p w:rsidR="001F29C6" w:rsidRDefault="001F29C6" w:rsidP="001F29C6">
      <w:pPr>
        <w:rPr>
          <w:sz w:val="20"/>
          <w:szCs w:val="20"/>
        </w:rPr>
      </w:pPr>
      <w:r w:rsidRPr="00B26A63">
        <w:rPr>
          <w:sz w:val="20"/>
          <w:szCs w:val="20"/>
        </w:rPr>
        <w:t>Overview of roadless areas &gt;1,000 acres in the North Fork Project Area, including the Devils Staircase Wilderness/</w:t>
      </w:r>
      <w:proofErr w:type="spellStart"/>
      <w:r w:rsidRPr="00B26A63">
        <w:rPr>
          <w:sz w:val="20"/>
          <w:szCs w:val="20"/>
        </w:rPr>
        <w:t>Wassen</w:t>
      </w:r>
      <w:proofErr w:type="spellEnd"/>
      <w:r w:rsidRPr="00B26A63">
        <w:rPr>
          <w:sz w:val="20"/>
          <w:szCs w:val="20"/>
        </w:rPr>
        <w:t xml:space="preserve"> Creek Roadless Area immediately south of this project.</w:t>
      </w:r>
    </w:p>
    <w:p w:rsidR="001F29C6" w:rsidRDefault="001F29C6" w:rsidP="001F29C6">
      <w:pPr>
        <w:rPr>
          <w:sz w:val="20"/>
          <w:szCs w:val="20"/>
        </w:rPr>
      </w:pPr>
    </w:p>
    <w:p w:rsidR="001F29C6" w:rsidRDefault="001F29C6" w:rsidP="001F29C6">
      <w:r>
        <w:rPr>
          <w:noProof/>
          <w:lang w:val="en-US"/>
        </w:rPr>
        <w:drawing>
          <wp:inline distT="0" distB="0" distL="0" distR="0" wp14:anchorId="0D4AAE9E" wp14:editId="0519A1BE">
            <wp:extent cx="3191466" cy="333894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196321" cy="3344024"/>
                    </a:xfrm>
                    <a:prstGeom prst="rect">
                      <a:avLst/>
                    </a:prstGeom>
                  </pic:spPr>
                </pic:pic>
              </a:graphicData>
            </a:graphic>
          </wp:inline>
        </w:drawing>
      </w:r>
    </w:p>
    <w:p w:rsidR="001F29C6" w:rsidRPr="00B26A63" w:rsidRDefault="001F29C6" w:rsidP="001F29C6">
      <w:pPr>
        <w:rPr>
          <w:sz w:val="20"/>
          <w:szCs w:val="20"/>
        </w:rPr>
      </w:pPr>
      <w:r w:rsidRPr="00B26A63">
        <w:rPr>
          <w:sz w:val="20"/>
          <w:szCs w:val="20"/>
        </w:rPr>
        <w:t>McKinney Creek Unroaded Area, 1426 acres</w:t>
      </w:r>
    </w:p>
    <w:p w:rsidR="001F29C6" w:rsidRDefault="001F29C6" w:rsidP="001F29C6"/>
    <w:p w:rsidR="001F29C6" w:rsidRDefault="001F29C6" w:rsidP="001F29C6">
      <w:r>
        <w:rPr>
          <w:noProof/>
          <w:lang w:val="en-US"/>
        </w:rPr>
        <w:lastRenderedPageBreak/>
        <w:drawing>
          <wp:inline distT="0" distB="0" distL="0" distR="0" wp14:anchorId="435EAE4B" wp14:editId="22515CE6">
            <wp:extent cx="3198757" cy="3851564"/>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202256" cy="3855777"/>
                    </a:xfrm>
                    <a:prstGeom prst="rect">
                      <a:avLst/>
                    </a:prstGeom>
                  </pic:spPr>
                </pic:pic>
              </a:graphicData>
            </a:graphic>
          </wp:inline>
        </w:drawing>
      </w:r>
    </w:p>
    <w:p w:rsidR="001F29C6" w:rsidRPr="00B26A63" w:rsidRDefault="001F29C6" w:rsidP="001F29C6">
      <w:pPr>
        <w:rPr>
          <w:sz w:val="20"/>
          <w:szCs w:val="20"/>
        </w:rPr>
      </w:pPr>
      <w:r w:rsidRPr="00B26A63">
        <w:rPr>
          <w:sz w:val="20"/>
          <w:szCs w:val="20"/>
        </w:rPr>
        <w:t>North Fork Smith Unroaded Area, 4347 acres</w:t>
      </w:r>
    </w:p>
    <w:p w:rsidR="001F29C6" w:rsidRPr="00B26A63" w:rsidRDefault="001F29C6" w:rsidP="001F29C6">
      <w:pPr>
        <w:rPr>
          <w:sz w:val="20"/>
          <w:szCs w:val="20"/>
        </w:rPr>
      </w:pPr>
      <w:r w:rsidRPr="00B26A63">
        <w:rPr>
          <w:sz w:val="20"/>
          <w:szCs w:val="20"/>
        </w:rPr>
        <w:t>Middle Fork of the North Fork Smith, Lesley Headwaters Unroaded Area, 2767 acres</w:t>
      </w:r>
    </w:p>
    <w:p w:rsidR="001F29C6" w:rsidRPr="00B26A63" w:rsidRDefault="001F29C6" w:rsidP="001F29C6">
      <w:pPr>
        <w:rPr>
          <w:sz w:val="20"/>
          <w:szCs w:val="20"/>
        </w:rPr>
      </w:pPr>
      <w:r w:rsidRPr="00B26A63">
        <w:rPr>
          <w:sz w:val="20"/>
          <w:szCs w:val="20"/>
        </w:rPr>
        <w:t>Lind Peak Unroaded Area, 1737 acres</w:t>
      </w:r>
    </w:p>
    <w:p w:rsidR="001F29C6" w:rsidRDefault="001F29C6" w:rsidP="001F29C6"/>
    <w:p w:rsidR="001F29C6" w:rsidRDefault="001F29C6" w:rsidP="001F29C6">
      <w:r>
        <w:rPr>
          <w:noProof/>
          <w:lang w:val="en-US"/>
        </w:rPr>
        <w:drawing>
          <wp:inline distT="0" distB="0" distL="0" distR="0" wp14:anchorId="26659B61" wp14:editId="23069814">
            <wp:extent cx="3221182" cy="31176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222605" cy="3119042"/>
                    </a:xfrm>
                    <a:prstGeom prst="rect">
                      <a:avLst/>
                    </a:prstGeom>
                  </pic:spPr>
                </pic:pic>
              </a:graphicData>
            </a:graphic>
          </wp:inline>
        </w:drawing>
      </w:r>
    </w:p>
    <w:p w:rsidR="001F29C6" w:rsidRPr="00B26A63" w:rsidRDefault="001F29C6" w:rsidP="001F29C6">
      <w:pPr>
        <w:rPr>
          <w:sz w:val="20"/>
          <w:szCs w:val="20"/>
        </w:rPr>
      </w:pPr>
      <w:r w:rsidRPr="00B26A63">
        <w:rPr>
          <w:sz w:val="20"/>
          <w:szCs w:val="20"/>
        </w:rPr>
        <w:t>Fiddle Creek Unroaded Area, 1501 acres</w:t>
      </w:r>
    </w:p>
    <w:p w:rsidR="001F29C6" w:rsidRPr="00B26A63" w:rsidRDefault="001F29C6" w:rsidP="001F29C6">
      <w:pPr>
        <w:rPr>
          <w:sz w:val="20"/>
          <w:szCs w:val="20"/>
        </w:rPr>
      </w:pPr>
      <w:r w:rsidRPr="00B26A63">
        <w:rPr>
          <w:sz w:val="20"/>
          <w:szCs w:val="20"/>
        </w:rPr>
        <w:t xml:space="preserve">Mount </w:t>
      </w:r>
      <w:proofErr w:type="spellStart"/>
      <w:r w:rsidRPr="00B26A63">
        <w:rPr>
          <w:sz w:val="20"/>
          <w:szCs w:val="20"/>
        </w:rPr>
        <w:t>Popocatepei</w:t>
      </w:r>
      <w:proofErr w:type="spellEnd"/>
      <w:r w:rsidRPr="00B26A63">
        <w:rPr>
          <w:sz w:val="20"/>
          <w:szCs w:val="20"/>
        </w:rPr>
        <w:t xml:space="preserve"> Unroaded Area, 2037 acres</w:t>
      </w:r>
    </w:p>
    <w:p w:rsidR="001F29C6" w:rsidRPr="003955A1" w:rsidRDefault="0054102F" w:rsidP="001F29C6">
      <w:pPr>
        <w:pStyle w:val="Heading2"/>
        <w:tabs>
          <w:tab w:val="num" w:pos="15"/>
        </w:tabs>
      </w:pPr>
      <w:bookmarkStart w:id="4" w:name="_Toc116471647"/>
      <w:bookmarkStart w:id="5" w:name="_Toc176959861"/>
      <w:r>
        <w:lastRenderedPageBreak/>
        <w:t xml:space="preserve">The EA Needs to Consider the Benefits of </w:t>
      </w:r>
      <w:r w:rsidR="001F29C6" w:rsidRPr="003955A1">
        <w:t>Allow</w:t>
      </w:r>
      <w:r>
        <w:t>ing</w:t>
      </w:r>
      <w:r w:rsidR="001F29C6" w:rsidRPr="003955A1">
        <w:t xml:space="preserve"> Natural Processes to Flourish</w:t>
      </w:r>
      <w:r w:rsidR="001F29C6">
        <w:t xml:space="preserve"> in </w:t>
      </w:r>
      <w:r w:rsidR="001F29C6" w:rsidRPr="003955A1">
        <w:t>Unroaded Areas</w:t>
      </w:r>
      <w:bookmarkEnd w:id="4"/>
      <w:bookmarkEnd w:id="5"/>
    </w:p>
    <w:p w:rsidR="001F29C6" w:rsidRDefault="001F29C6" w:rsidP="001F29C6">
      <w:r w:rsidRPr="00AC17CE">
        <w:t xml:space="preserve">Unroaded/undeveloped areas are an important feature of the historic range of variability that needs to be restored. Such areas provide high quality water, soil, fish &amp; wildlife habitat, carbon storage, recreation and scenic values, etc. The purpose and need should include restoration of unroaded/undeveloped areas </w:t>
      </w:r>
      <w:r>
        <w:t xml:space="preserve">(consistent with the natural range of variability) </w:t>
      </w:r>
      <w:r w:rsidRPr="00AC17CE">
        <w:t>where natural processes can flourish.</w:t>
      </w:r>
    </w:p>
    <w:p w:rsidR="001F29C6" w:rsidRDefault="001F29C6" w:rsidP="001F29C6"/>
    <w:p w:rsidR="001F29C6" w:rsidRDefault="001F29C6" w:rsidP="001F29C6">
      <w:r w:rsidRPr="00E25C01">
        <w:t xml:space="preserve">Unroaded areas are rare on the landscape and they are one of the places where human influence has been limited and the ecological building blocks remain in place, so it is reasonably possible to achieve restoration of desired ecological conditions by relying on natural self-correcting mechanisms. Natural processes have operated  successfully for millennia to achieve dynamic balance between forest growth and mortality. Within unroaded areas the </w:t>
      </w:r>
      <w:r>
        <w:t xml:space="preserve">agency </w:t>
      </w:r>
      <w:r w:rsidRPr="00E25C01">
        <w:t>should focus on eliminating unnatural stressors (such as livestock and weeds) while reintroducing natural processes such as fire. There may be an opportunity to manually pre-treat fuels before reintroducing fire, but building miles of new roads and removing significant habitat structures would not be appropriate.</w:t>
      </w:r>
    </w:p>
    <w:p w:rsidR="001F29C6" w:rsidRDefault="001F29C6" w:rsidP="001F29C6"/>
    <w:p w:rsidR="001F29C6" w:rsidRDefault="001F29C6" w:rsidP="001F29C6">
      <w:r>
        <w:t>Unroade</w:t>
      </w:r>
      <w:r w:rsidRPr="006228C0">
        <w:t xml:space="preserve">d areas often have mature forests which are </w:t>
      </w:r>
      <w:r>
        <w:t xml:space="preserve">developing and diversifying naturally. </w:t>
      </w:r>
      <w:r w:rsidRPr="006228C0">
        <w:t>“</w:t>
      </w:r>
      <w:r w:rsidRPr="006228C0">
        <w:rPr>
          <w:b/>
        </w:rPr>
        <w:t>Mature Seral Stage</w:t>
      </w:r>
      <w:r w:rsidRPr="006228C0">
        <w:t xml:space="preserve"> - This stage typically occurs between ages 81 and 195. </w:t>
      </w:r>
      <w:r w:rsidRPr="006228C0">
        <w:rPr>
          <w:color w:val="000000"/>
        </w:rPr>
        <w:t>Stand diversity is gradually</w:t>
      </w:r>
      <w:r>
        <w:rPr>
          <w:color w:val="000000"/>
        </w:rPr>
        <w:t xml:space="preserve"> </w:t>
      </w:r>
      <w:r w:rsidRPr="006228C0">
        <w:rPr>
          <w:color w:val="000000"/>
        </w:rPr>
        <w:t>increasing in response to openings in the canopy created by wind</w:t>
      </w:r>
      <w:r>
        <w:rPr>
          <w:color w:val="000000"/>
        </w:rPr>
        <w:t>-</w:t>
      </w:r>
      <w:r w:rsidRPr="006228C0">
        <w:rPr>
          <w:color w:val="000000"/>
        </w:rPr>
        <w:t>throw, disease, insects, and stand mortality”</w:t>
      </w:r>
      <w:r>
        <w:rPr>
          <w:color w:val="000000"/>
        </w:rPr>
        <w:t xml:space="preserve"> Eugene BLM, 1995. Mohawk/McGowan Watershed Analysis.</w:t>
      </w:r>
    </w:p>
    <w:p w:rsidR="001F29C6" w:rsidRDefault="001F29C6" w:rsidP="001F29C6"/>
    <w:p w:rsidR="001F29C6" w:rsidRDefault="001F29C6" w:rsidP="001F29C6">
      <w:r>
        <w:t xml:space="preserve">Even when forests in roadless areas seem more uniform than desired, it is not always necessary to mechanically thin forests to increase diversity and complexity. Natural processes can do the job. Spies et al (2002) enumerate a variety of disturbance agents that can help diversify forest stands without logging. </w:t>
      </w:r>
    </w:p>
    <w:p w:rsidR="001F29C6" w:rsidRDefault="001F29C6" w:rsidP="001F29C6">
      <w:pPr>
        <w:rPr>
          <w:noProof/>
        </w:rPr>
      </w:pPr>
      <w:r>
        <w:rPr>
          <w:noProof/>
          <w:lang w:val="en-US"/>
        </w:rPr>
        <w:drawing>
          <wp:inline distT="0" distB="0" distL="0" distR="0" wp14:anchorId="4F0507D0" wp14:editId="0F099A85">
            <wp:extent cx="5950585" cy="2223770"/>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50585" cy="2223770"/>
                    </a:xfrm>
                    <a:prstGeom prst="rect">
                      <a:avLst/>
                    </a:prstGeom>
                    <a:noFill/>
                    <a:ln>
                      <a:noFill/>
                    </a:ln>
                  </pic:spPr>
                </pic:pic>
              </a:graphicData>
            </a:graphic>
          </wp:inline>
        </w:drawing>
      </w:r>
    </w:p>
    <w:p w:rsidR="001F29C6" w:rsidRDefault="001F29C6" w:rsidP="001F29C6">
      <w:r>
        <w:t xml:space="preserve">Thomas A. Spies, David E. Hibbs, Janet L. </w:t>
      </w:r>
      <w:proofErr w:type="spellStart"/>
      <w:r>
        <w:t>Ohmann</w:t>
      </w:r>
      <w:proofErr w:type="spellEnd"/>
      <w:r>
        <w:t>, Gordon H. Reeves, Robert J. Pabst,</w:t>
      </w:r>
    </w:p>
    <w:p w:rsidR="001F29C6" w:rsidRDefault="001F29C6" w:rsidP="001F29C6">
      <w:r>
        <w:t>Frederick J. Swanson, Cathy Whitlock, Julia A. Jones, Beverly C. Wemple,</w:t>
      </w:r>
    </w:p>
    <w:p w:rsidR="001F29C6" w:rsidRDefault="001F29C6" w:rsidP="001F29C6">
      <w:r>
        <w:t xml:space="preserve">Laurie A. </w:t>
      </w:r>
      <w:proofErr w:type="spellStart"/>
      <w:r>
        <w:t>Parendes</w:t>
      </w:r>
      <w:proofErr w:type="spellEnd"/>
      <w:r>
        <w:t xml:space="preserve">, and Barbara A. Schrader. 2002. The Ecological Basis of Forest Ecosystem Management in the Oregon Coast Range. </w:t>
      </w:r>
      <w:hyperlink r:id="rId17" w:history="1">
        <w:r w:rsidRPr="00371047">
          <w:rPr>
            <w:rStyle w:val="Hyperlink"/>
          </w:rPr>
          <w:t>http://www.fsl.orst.edu/rna/Documents/publications/Flynn%20Creek%20spies_etal_2002_ecological_basis.pdf</w:t>
        </w:r>
      </w:hyperlink>
      <w:r>
        <w:t xml:space="preserve"> </w:t>
      </w:r>
      <w:r w:rsidRPr="00AF7EE7">
        <w:rPr>
          <w:i/>
        </w:rPr>
        <w:t>in</w:t>
      </w:r>
      <w:r>
        <w:t xml:space="preserve"> </w:t>
      </w:r>
      <w:r w:rsidRPr="00AF7EE7">
        <w:t xml:space="preserve">Hobbs, S. D. </w:t>
      </w:r>
      <w:r>
        <w:t xml:space="preserve">et al </w:t>
      </w:r>
      <w:r w:rsidRPr="00AF7EE7">
        <w:t>(2002). Forest and stream management in the Oregon coast range. Corvallis, Or: Oregon State University Press.</w:t>
      </w:r>
      <w:r>
        <w:t xml:space="preserve"> </w:t>
      </w:r>
      <w:hyperlink r:id="rId18" w:history="1">
        <w:r w:rsidRPr="00371047">
          <w:rPr>
            <w:rStyle w:val="Hyperlink"/>
          </w:rPr>
          <w:t>https://osupress.oregonstate.edu/book/forest-and-stream-management-in-oregon-coast-range</w:t>
        </w:r>
      </w:hyperlink>
      <w:r>
        <w:t xml:space="preserve"> </w:t>
      </w:r>
    </w:p>
    <w:p w:rsidR="00C13CE6" w:rsidRDefault="00C13CE6" w:rsidP="00C13CE6"/>
    <w:p w:rsidR="00A45E15" w:rsidRDefault="00A45E15" w:rsidP="00A45E15">
      <w:r>
        <w:t xml:space="preserve">One of the important but under-appreciated values of unroaded areas is the long-term creation and maintenance of dead wood habitat due to the fact that unmanaged areas are where natural processes are allowed to flourish. Unroaded areas are one of the few places where trees are allowed to fulfill their entire “lifecycle” (including their life-giving role as snags, dead wood, and soil builders) in the forest. </w:t>
      </w:r>
      <w:proofErr w:type="spellStart"/>
      <w:r>
        <w:t>Korol</w:t>
      </w:r>
      <w:proofErr w:type="spellEnd"/>
      <w:r>
        <w:t xml:space="preserve"> et al (2002) found that large snag habitat is below historic range of variability across the Interior Columbia Basin and they estimated that even if the agencies apply enlightened forest management on federal lands in the Interior Columbia Basin for the next 100 years, we will still reach only 75% of the historic large snag abundance, and most of the increase in large snags will occur in roadless and wilderness areas. Jerome J. </w:t>
      </w:r>
      <w:proofErr w:type="spellStart"/>
      <w:r>
        <w:t>Korol</w:t>
      </w:r>
      <w:proofErr w:type="spellEnd"/>
      <w:r>
        <w:t xml:space="preserve">, Miles A. </w:t>
      </w:r>
      <w:proofErr w:type="spellStart"/>
      <w:r>
        <w:t>Hemstrom</w:t>
      </w:r>
      <w:proofErr w:type="spellEnd"/>
      <w:r>
        <w:t xml:space="preserve">, </w:t>
      </w:r>
      <w:proofErr w:type="spellStart"/>
      <w:r>
        <w:t>Wendel</w:t>
      </w:r>
      <w:proofErr w:type="spellEnd"/>
      <w:r>
        <w:t xml:space="preserve"> J. Hann, and Rebecca A. </w:t>
      </w:r>
      <w:proofErr w:type="spellStart"/>
      <w:r>
        <w:t>Gravenmier</w:t>
      </w:r>
      <w:proofErr w:type="spellEnd"/>
      <w:r>
        <w:t xml:space="preserve">. 2002. Snags and Down Wood in the Interior Columbia Basin Ecosystem Management Project. PNW-GTR-181. </w:t>
      </w:r>
      <w:hyperlink r:id="rId19" w:history="1">
        <w:r>
          <w:rPr>
            <w:rStyle w:val="Hyperlink"/>
          </w:rPr>
          <w:t>http://www.fs.fed.us/psw/publications/documents/gtr-181/049_Korol.pdf</w:t>
        </w:r>
      </w:hyperlink>
      <w:r>
        <w:t>. Since w</w:t>
      </w:r>
      <w:r w:rsidRPr="00AC17CE">
        <w:t>ilderness and unmanaged areas are the only place that a healthy population of snags is likely to be recruited and</w:t>
      </w:r>
      <w:r>
        <w:t xml:space="preserve"> maintained over the long term, they represent</w:t>
      </w:r>
      <w:r w:rsidRPr="00AC17CE">
        <w:t xml:space="preserve"> invaluable and irreplaceable mitigation for all the places where snags are in short supply due to logging, hazard tree removal, and </w:t>
      </w:r>
      <w:r>
        <w:t xml:space="preserve">other </w:t>
      </w:r>
      <w:r w:rsidRPr="00AC17CE">
        <w:t>management efforts designed t</w:t>
      </w:r>
      <w:r>
        <w:t>o control and capture mortality</w:t>
      </w:r>
      <w:r w:rsidRPr="00AC17CE">
        <w:t xml:space="preserve">. </w:t>
      </w:r>
    </w:p>
    <w:p w:rsidR="00A45E15" w:rsidRPr="00BC263C" w:rsidRDefault="0054102F" w:rsidP="00A45E15">
      <w:pPr>
        <w:pStyle w:val="Heading2"/>
        <w:tabs>
          <w:tab w:val="num" w:pos="735"/>
        </w:tabs>
      </w:pPr>
      <w:bookmarkStart w:id="6" w:name="_Toc116471646"/>
      <w:bookmarkStart w:id="7" w:name="_Toc176959862"/>
      <w:r>
        <w:t xml:space="preserve">The EA Needs to Consider </w:t>
      </w:r>
      <w:r w:rsidR="00A45E15" w:rsidRPr="00BC263C">
        <w:t>New information on Unroaded Areas &gt;1,000 acres</w:t>
      </w:r>
      <w:bookmarkEnd w:id="6"/>
      <w:bookmarkEnd w:id="7"/>
    </w:p>
    <w:p w:rsidR="00A45E15" w:rsidRDefault="00A45E15" w:rsidP="00A45E15">
      <w:r w:rsidRPr="00EA21F4">
        <w:rPr>
          <w:color w:val="222222"/>
          <w:shd w:val="clear" w:color="auto" w:fill="FFFFFF"/>
        </w:rPr>
        <w:t xml:space="preserve">The </w:t>
      </w:r>
      <w:r>
        <w:rPr>
          <w:color w:val="222222"/>
          <w:shd w:val="clear" w:color="auto" w:fill="FFFFFF"/>
        </w:rPr>
        <w:t>agency</w:t>
      </w:r>
      <w:r w:rsidRPr="00EA21F4">
        <w:rPr>
          <w:color w:val="222222"/>
          <w:shd w:val="clear" w:color="auto" w:fill="FFFFFF"/>
        </w:rPr>
        <w:t xml:space="preserve"> cannot limit its analysis of roadless are</w:t>
      </w:r>
      <w:r>
        <w:rPr>
          <w:color w:val="222222"/>
          <w:shd w:val="clear" w:color="auto" w:fill="FFFFFF"/>
        </w:rPr>
        <w:t>as</w:t>
      </w:r>
      <w:r w:rsidRPr="00EA21F4">
        <w:rPr>
          <w:color w:val="222222"/>
          <w:shd w:val="clear" w:color="auto" w:fill="FFFFFF"/>
        </w:rPr>
        <w:t xml:space="preserve"> to inventoried areas &gt;5,000 acres, because smaller roadless areas that were not inventoried are ecologically relevant and potentially significant. </w:t>
      </w:r>
      <w:r>
        <w:t>The NEPA analysis must reflect the growing scientific evidence (cited below) indicating the significant value of roadless areas smaller than 5,000 acres and larger than 1,000 acres. Recent scientific literature emphasizes the importance of unroaded areas greater than 1,000 acres as strongholds for the production of fish and other aquatic and terrestrial species, as well as sources of high quality water. Commercial logging and/or road building within large unroaded areas threatens these significant ecological values.</w:t>
      </w:r>
    </w:p>
    <w:p w:rsidR="00A45E15" w:rsidRDefault="00A45E15"/>
    <w:p w:rsidR="00A45E15" w:rsidRDefault="00A45E15" w:rsidP="00A45E15">
      <w:r>
        <w:t xml:space="preserve">Large unroaded areas are important simply due to the fact that they better represent the historic condition that species evolved with but they are now rare on the landscape due to human activities that have degraded and fragmented the majority of the landscape. The Northwest Forest Plan LSOG Effectiveness Monitoring Plan says that “perhaps 80 percent or more [of the historic late-successional old-growth forest] would probably have occurred as relatively large (greater than 1,000 acres) areas of connected forest.” Miles </w:t>
      </w:r>
      <w:proofErr w:type="spellStart"/>
      <w:r>
        <w:t>Hemstrom</w:t>
      </w:r>
      <w:proofErr w:type="spellEnd"/>
      <w:r>
        <w:t xml:space="preserve">, Thomas Spies, Craig Palmer, Ross </w:t>
      </w:r>
      <w:proofErr w:type="spellStart"/>
      <w:r>
        <w:t>Kiester</w:t>
      </w:r>
      <w:proofErr w:type="spellEnd"/>
      <w:r>
        <w:t xml:space="preserve">, John </w:t>
      </w:r>
      <w:proofErr w:type="spellStart"/>
      <w:r>
        <w:t>Teply</w:t>
      </w:r>
      <w:proofErr w:type="spellEnd"/>
      <w:r>
        <w:t xml:space="preserve">, Phil McDonald, and Ralph </w:t>
      </w:r>
      <w:proofErr w:type="spellStart"/>
      <w:r>
        <w:t>Warbington</w:t>
      </w:r>
      <w:proofErr w:type="spellEnd"/>
      <w:r>
        <w:t xml:space="preserve">; Late-Successional and Old-Growth Forest Effectiveness Monitoring Plan for the Northwest Forest Plan, USFS General Technical Report PNW-GTR-438; December 1998; </w:t>
      </w:r>
      <w:hyperlink r:id="rId20" w:history="1">
        <w:r>
          <w:rPr>
            <w:rStyle w:val="Hyperlink"/>
          </w:rPr>
          <w:t>http://www.fs.fed.us/pnw/pubs/gtr_438.pdf</w:t>
        </w:r>
      </w:hyperlink>
      <w:r>
        <w:t>. Currently, these 1,000 acre and larger patches are rare on the landscape.</w:t>
      </w:r>
    </w:p>
    <w:p w:rsidR="00A45E15" w:rsidRDefault="00A45E15"/>
    <w:p w:rsidR="00A45E15" w:rsidRDefault="00A45E15" w:rsidP="00A45E15">
      <w:r>
        <w:t>World Wildlife Fund and the Conservation Biology Institute summarized the important attributes of small roadless areas (1,000-5,000 acres).</w:t>
      </w:r>
    </w:p>
    <w:p w:rsidR="00A45E15" w:rsidRPr="005445C6" w:rsidRDefault="00A45E15" w:rsidP="00A45E15">
      <w:pPr>
        <w:ind w:left="720"/>
      </w:pPr>
      <w:r w:rsidRPr="005445C6">
        <w:t>Small roadless areas share many of attributes in common with larger ones,</w:t>
      </w:r>
      <w:r>
        <w:t xml:space="preserve"> </w:t>
      </w:r>
      <w:r w:rsidRPr="005445C6">
        <w:t>including:</w:t>
      </w:r>
    </w:p>
    <w:p w:rsidR="00A45E15" w:rsidRPr="005445C6" w:rsidRDefault="00A45E15" w:rsidP="00A45E15">
      <w:pPr>
        <w:ind w:left="720"/>
      </w:pPr>
      <w:r w:rsidRPr="005445C6">
        <w:t>• Essential habitat for species key to the recovery of forests following</w:t>
      </w:r>
      <w:r>
        <w:t xml:space="preserve"> </w:t>
      </w:r>
      <w:r w:rsidRPr="005445C6">
        <w:t>disturbance such as herbaceous plants, lichens, and mycorrhizal fungi</w:t>
      </w:r>
    </w:p>
    <w:p w:rsidR="00A45E15" w:rsidRPr="005445C6" w:rsidRDefault="00A45E15" w:rsidP="00A45E15">
      <w:pPr>
        <w:ind w:left="720"/>
      </w:pPr>
      <w:r w:rsidRPr="005445C6">
        <w:t>• Habitat refugia for threatened species and those with restricted distributions</w:t>
      </w:r>
      <w:r>
        <w:t xml:space="preserve"> </w:t>
      </w:r>
      <w:r w:rsidRPr="005445C6">
        <w:t>(endemics)</w:t>
      </w:r>
    </w:p>
    <w:p w:rsidR="00A45E15" w:rsidRPr="005445C6" w:rsidRDefault="00A45E15" w:rsidP="00A45E15">
      <w:pPr>
        <w:ind w:left="720"/>
      </w:pPr>
      <w:r w:rsidRPr="005445C6">
        <w:t>• Aquatic strongholds for salmonids</w:t>
      </w:r>
    </w:p>
    <w:p w:rsidR="00A45E15" w:rsidRPr="005445C6" w:rsidRDefault="00A45E15" w:rsidP="00A45E15">
      <w:pPr>
        <w:ind w:left="720"/>
      </w:pPr>
      <w:r w:rsidRPr="005445C6">
        <w:t>• Undisturbed habitats for mollusks and amphibians</w:t>
      </w:r>
    </w:p>
    <w:p w:rsidR="00A45E15" w:rsidRPr="005445C6" w:rsidRDefault="00A45E15" w:rsidP="00A45E15">
      <w:pPr>
        <w:ind w:left="720"/>
      </w:pPr>
      <w:r w:rsidRPr="005445C6">
        <w:t>• Remaining pockets of old-growth forests</w:t>
      </w:r>
    </w:p>
    <w:p w:rsidR="00A45E15" w:rsidRPr="005445C6" w:rsidRDefault="00A45E15" w:rsidP="00A45E15">
      <w:pPr>
        <w:ind w:left="720"/>
      </w:pPr>
      <w:r w:rsidRPr="005445C6">
        <w:t>• Overwintering habitat for resident birds and ungulates</w:t>
      </w:r>
    </w:p>
    <w:p w:rsidR="00A45E15" w:rsidRPr="00D854CD" w:rsidRDefault="00A45E15" w:rsidP="00A45E15">
      <w:pPr>
        <w:ind w:left="720"/>
      </w:pPr>
      <w:r w:rsidRPr="005445C6">
        <w:t>• Dispersal “stepping stones” for wildlife movement across fragmented</w:t>
      </w:r>
      <w:r>
        <w:t xml:space="preserve"> </w:t>
      </w:r>
      <w:r w:rsidRPr="005445C6">
        <w:t>landscapes</w:t>
      </w:r>
    </w:p>
    <w:p w:rsidR="00A45E15" w:rsidRDefault="00A45E15" w:rsidP="00A45E15">
      <w:proofErr w:type="spellStart"/>
      <w:r>
        <w:t>DellaSal</w:t>
      </w:r>
      <w:r w:rsidRPr="00213A7E">
        <w:t>a</w:t>
      </w:r>
      <w:proofErr w:type="spellEnd"/>
      <w:r w:rsidRPr="00213A7E">
        <w:t xml:space="preserve">, Dominick and James </w:t>
      </w:r>
      <w:proofErr w:type="spellStart"/>
      <w:r w:rsidRPr="00213A7E">
        <w:t>Strittholt</w:t>
      </w:r>
      <w:proofErr w:type="spellEnd"/>
      <w:r w:rsidRPr="00213A7E">
        <w:t xml:space="preserve">. </w:t>
      </w:r>
      <w:r>
        <w:t xml:space="preserve">2002. </w:t>
      </w:r>
      <w:r w:rsidRPr="00213A7E">
        <w:t>Scientific Basis For Roadless Area Conservation</w:t>
      </w:r>
      <w:r>
        <w:t xml:space="preserve">. </w:t>
      </w:r>
      <w:r w:rsidRPr="00213A7E">
        <w:t>World Wildlife Fund. Ashland, OR; Conservation Biology Institute</w:t>
      </w:r>
      <w:r>
        <w:t xml:space="preserve">. </w:t>
      </w:r>
      <w:r w:rsidRPr="00213A7E">
        <w:t>(June 2002 - Updated October 2003</w:t>
      </w:r>
      <w:r>
        <w:t xml:space="preserve">) </w:t>
      </w:r>
      <w:hyperlink r:id="rId21" w:history="1">
        <w:r w:rsidRPr="006A3808">
          <w:rPr>
            <w:rStyle w:val="Hyperlink"/>
          </w:rPr>
          <w:t>https://d2k78bk4kdhbpr.cloudfront.net/media/reports/files/Scientific_Basis_For_Roadless_Area_Conservation.pdf</w:t>
        </w:r>
      </w:hyperlink>
      <w:r>
        <w:t xml:space="preserve">. </w:t>
      </w:r>
    </w:p>
    <w:p w:rsidR="00A45E15" w:rsidRDefault="00A45E15" w:rsidP="00A45E15"/>
    <w:p w:rsidR="00A45E15" w:rsidRPr="00D854CD" w:rsidRDefault="00A45E15" w:rsidP="00A45E15">
      <w:r>
        <w:rPr>
          <w:rFonts w:eastAsia="Times New Roman"/>
        </w:rPr>
        <w:t xml:space="preserve">In a 1997 letter to President Clinton, </w:t>
      </w:r>
      <w:r w:rsidRPr="00D854CD">
        <w:rPr>
          <w:rFonts w:eastAsia="Times New Roman"/>
        </w:rPr>
        <w:t xml:space="preserve">136 scientists </w:t>
      </w:r>
      <w:r>
        <w:rPr>
          <w:rFonts w:eastAsia="Times New Roman"/>
        </w:rPr>
        <w:t>said:</w:t>
      </w:r>
    </w:p>
    <w:p w:rsidR="00A45E15" w:rsidRPr="00D854CD" w:rsidRDefault="00A45E15" w:rsidP="00A45E15">
      <w:pPr>
        <w:ind w:left="720"/>
      </w:pPr>
      <w:r w:rsidRPr="00D854CD">
        <w:rPr>
          <w:rFonts w:eastAsia="Times New Roman"/>
        </w:rPr>
        <w:t>There is a growing consensus among academic and agency scientists that existing roadless areas–irrespective of size–contribute substantially to maintaining biodiversity and ecological integrity on the national forests. The Eastside Forests Scientific Societies Panel, including representatives from the American Fisheries Society, American Ornithologists’ Union, Ecological Society of America, Society for Conservation Biology, and The Wildlife Society, recommended a prohibition on the construction of new roads and logging within existing (1) roadless regions larger than 1,000 acres, and (2) roadless regions smaller than 1,000 acres that are biologically significant…. Other scientists have also recommended protection of all roadless areas greater than 1,000 acres, at least until landscapes degraded by past management have recovered…. As you have acknowledged, a national policy prohibiting road building and other forms of development in roadless areas represents a major step towards balancing sustainable forest management with conserving environmental values on federal lands. In our view, a scientifically based policy for roadless areas on public lands should, at a minimum, protect from development all roadless areas larger than 1,000 acres and those smaller areas that have special ecological significance because of their contributions to regional landscapes.</w:t>
      </w:r>
    </w:p>
    <w:p w:rsidR="00A45E15" w:rsidRPr="00D854CD" w:rsidRDefault="00A45E15" w:rsidP="00A45E15">
      <w:r w:rsidRPr="00D854CD">
        <w:rPr>
          <w:rFonts w:eastAsia="Times New Roman"/>
        </w:rPr>
        <w:t>Letter to President Clinton from 136 scientists (Dec. 10, 1997).</w:t>
      </w:r>
    </w:p>
    <w:p w:rsidR="00A45E15" w:rsidRDefault="009A4A4D" w:rsidP="00A45E15">
      <w:hyperlink r:id="rId22" w:history="1">
        <w:r w:rsidR="00A45E15" w:rsidRPr="009F6D5B">
          <w:rPr>
            <w:rStyle w:val="Hyperlink"/>
          </w:rPr>
          <w:t>https://drive.google.com/file/d/0B4L_-RD-MJwrRzhFcm5QcFR0MHM/view?usp=sharing&amp;resourcekey=0-2-sbGMN3bOUBQGGMDBQM1Q</w:t>
        </w:r>
      </w:hyperlink>
      <w:r w:rsidR="00A45E15">
        <w:t xml:space="preserve"> </w:t>
      </w:r>
    </w:p>
    <w:p w:rsidR="00A45E15" w:rsidRDefault="00A45E15" w:rsidP="00A45E15"/>
    <w:p w:rsidR="00A45E15" w:rsidRDefault="00A45E15" w:rsidP="00A45E15">
      <w:pPr>
        <w:rPr>
          <w:rFonts w:eastAsia="Symbol"/>
        </w:rPr>
      </w:pPr>
      <w:r>
        <w:rPr>
          <w:rFonts w:eastAsia="Symbol"/>
          <w:color w:val="222222"/>
          <w:shd w:val="clear" w:color="auto" w:fill="FFFFFF"/>
        </w:rPr>
        <w:lastRenderedPageBreak/>
        <w:t>To the list of special values found within unroaded areas must be added carbon storage. European policy leaders consider roadless areas effective for carbon storage and climate mitigation:</w:t>
      </w:r>
    </w:p>
    <w:p w:rsidR="00A45E15" w:rsidRDefault="00A45E15" w:rsidP="00A45E15">
      <w:pPr>
        <w:pStyle w:val="BodyTextIndent"/>
      </w:pPr>
      <w:r>
        <w:rPr>
          <w:rFonts w:eastAsia="Symbol"/>
        </w:rPr>
        <w:t>[T]he European Parliament has agreed to raise the issue of roadbuilding in intact forests at the UN Climate Change Conference to be held next month in Warsaw (Poland); it calls on parties to use the existence of roads in forest areas as an early negative performance indicator of REDD+ projects, and to prioritise the allocation of REDD+ funds towards road free forests.</w:t>
      </w:r>
    </w:p>
    <w:p w:rsidR="00A45E15" w:rsidRDefault="00A45E15" w:rsidP="00A45E15">
      <w:r>
        <w:t xml:space="preserve">Oct 24, 2013 Press release: EUROPEAN PARLIAMENT BACKS THE PROTECTION OF ROADFREE AREAS. </w:t>
      </w:r>
      <w:hyperlink r:id="rId23" w:history="1">
        <w:r>
          <w:rPr>
            <w:rStyle w:val="Hyperlink"/>
          </w:rPr>
          <w:t>http://kritonarsenis.gr/eng/actions/view/european-parliament-backs-the-protection</w:t>
        </w:r>
      </w:hyperlink>
      <w:r>
        <w:t xml:space="preserve">. Federal land managers should recognize the tremendous carbon values in unroaded/unmanaged forests and avoid actions that would threaten these values. See also, William R. </w:t>
      </w:r>
      <w:proofErr w:type="spellStart"/>
      <w:r>
        <w:t>Moomaw</w:t>
      </w:r>
      <w:proofErr w:type="spellEnd"/>
      <w:r>
        <w:t xml:space="preserve">, Susan A. </w:t>
      </w:r>
      <w:proofErr w:type="spellStart"/>
      <w:r>
        <w:t>Masino</w:t>
      </w:r>
      <w:proofErr w:type="spellEnd"/>
      <w:r>
        <w:t xml:space="preserve">, and Edward K. Faison. 2019. Intact Forests in the United States: Proforestation Mitigates Climate Change and Serves the Greatest Good Front. For. Glob. Change, 11 June 2019 | </w:t>
      </w:r>
      <w:hyperlink r:id="rId24" w:history="1">
        <w:r w:rsidRPr="00331BE1">
          <w:rPr>
            <w:rStyle w:val="Hyperlink"/>
          </w:rPr>
          <w:t>https://doi.org/10.3389/ffgc.2019.00027</w:t>
        </w:r>
      </w:hyperlink>
      <w:r>
        <w:t xml:space="preserve">;  </w:t>
      </w:r>
      <w:hyperlink r:id="rId25" w:history="1">
        <w:r w:rsidRPr="00331BE1">
          <w:rPr>
            <w:rStyle w:val="Hyperlink"/>
          </w:rPr>
          <w:t>https://www.frontiersin.org/articles/10.3389/ffgc.2019.00027/full</w:t>
        </w:r>
      </w:hyperlink>
      <w:r>
        <w:t xml:space="preserve">. See also, </w:t>
      </w:r>
      <w:r w:rsidRPr="00DF058C">
        <w:t xml:space="preserve">Kun, Z., </w:t>
      </w:r>
      <w:proofErr w:type="spellStart"/>
      <w:r w:rsidRPr="00DF058C">
        <w:t>DellaSala</w:t>
      </w:r>
      <w:proofErr w:type="spellEnd"/>
      <w:r w:rsidRPr="00DF058C">
        <w:t xml:space="preserve">, D., Keith, H., </w:t>
      </w:r>
      <w:proofErr w:type="spellStart"/>
      <w:r w:rsidRPr="00DF058C">
        <w:t>Kormos</w:t>
      </w:r>
      <w:proofErr w:type="spellEnd"/>
      <w:r w:rsidRPr="00DF058C">
        <w:t xml:space="preserve">, C., Mercer, B., </w:t>
      </w:r>
      <w:proofErr w:type="spellStart"/>
      <w:r w:rsidRPr="00DF058C">
        <w:t>Moomaw</w:t>
      </w:r>
      <w:proofErr w:type="spellEnd"/>
      <w:r w:rsidRPr="00DF058C">
        <w:t xml:space="preserve">, W.R. and </w:t>
      </w:r>
      <w:proofErr w:type="spellStart"/>
      <w:r w:rsidRPr="00DF058C">
        <w:t>Wiezik</w:t>
      </w:r>
      <w:proofErr w:type="spellEnd"/>
      <w:r w:rsidRPr="00DF058C">
        <w:t xml:space="preserve">, M. (2020), </w:t>
      </w:r>
      <w:proofErr w:type="spellStart"/>
      <w:r w:rsidRPr="00DF058C">
        <w:t>Recognising</w:t>
      </w:r>
      <w:proofErr w:type="spellEnd"/>
      <w:r w:rsidRPr="00DF058C">
        <w:t xml:space="preserve"> the importance of unmanaged forests to mitigate climate change. GCB Bioenergy. Accepted Author Manuscript. doi:10.1111/gcbb.12714</w:t>
      </w:r>
      <w:r>
        <w:t xml:space="preserve"> </w:t>
      </w:r>
      <w:hyperlink r:id="rId26" w:history="1">
        <w:r>
          <w:rPr>
            <w:rStyle w:val="Hyperlink"/>
          </w:rPr>
          <w:t>https://onlinelibrary.wiley.com/doi/pdfdirect/10.1111/gcbb.12714</w:t>
        </w:r>
      </w:hyperlink>
      <w:r>
        <w:t>. (“The most effective means for keeping carbon out of the atmosphere to meet climate goals is to protect primary forests (Mackey et al. 2020) and continue growing secondary forests to accumulate additional carbon (proforestation) (</w:t>
      </w:r>
      <w:proofErr w:type="spellStart"/>
      <w:r>
        <w:t>Moomaw</w:t>
      </w:r>
      <w:proofErr w:type="spellEnd"/>
      <w:r>
        <w:t xml:space="preserve"> et al. 2019) while reducing emissions from all sources including bioenergy. … The importance of primary (unlogged) forests lies in the magnitude and longevity of their carbon stock. In order to reverse the decreasing forest carbon stocks in Europe (EEA, 2019), the largest forest carbon stores must be protected and additional forests must be allowed to continue accumulating carbon (proforestation).”).</w:t>
      </w:r>
    </w:p>
    <w:p w:rsidR="00A45E15" w:rsidRDefault="00A45E15"/>
    <w:p w:rsidR="00A45E15" w:rsidRDefault="0054102F" w:rsidP="00A45E15">
      <w:pPr>
        <w:pStyle w:val="Heading2"/>
        <w:keepLines w:val="0"/>
        <w:numPr>
          <w:ilvl w:val="1"/>
          <w:numId w:val="0"/>
        </w:numPr>
        <w:tabs>
          <w:tab w:val="num" w:pos="0"/>
        </w:tabs>
        <w:suppressAutoHyphens/>
        <w:spacing w:before="0" w:line="240" w:lineRule="auto"/>
        <w:ind w:left="576" w:hanging="576"/>
      </w:pPr>
      <w:bookmarkStart w:id="8" w:name="_Toc3557841"/>
      <w:bookmarkStart w:id="9" w:name="_Toc176959863"/>
      <w:r>
        <w:t xml:space="preserve">The EA Needs to Consider an </w:t>
      </w:r>
      <w:r w:rsidR="00A45E15">
        <w:t>Optimal Mix of Treated and Untreated</w:t>
      </w:r>
      <w:bookmarkEnd w:id="8"/>
      <w:bookmarkEnd w:id="9"/>
    </w:p>
    <w:p w:rsidR="00A45E15" w:rsidRDefault="00A45E15" w:rsidP="00A45E15">
      <w:pPr>
        <w:pStyle w:val="BodyText"/>
        <w:spacing w:after="240"/>
      </w:pPr>
      <w:r>
        <w:t>Oregon Wild supports thinning of young planted stands when such projects are well planned and designed to accomplish comprehensive restoration objectives and carefully implemented to avoid unintended consequences. One of the key considerations is to find the optimal mix of treated and untreated patches within and between stands. This is because thinning benefits some aspects of late successional forest conditions such as large trees and vegetation diversity, but thinning also has adverse effects on other aspects of late successional forests such as dead wood recruitment, biomass accumulation, wildlife cover, soil quality, and microclimate conditions. In order to achieve all the objectives for optimal late successional forest conditions, restoration projects must contain both thinned and unthinned patches. Finding the right mix should not be an accident based mostly on operational feasibility and site constraints, but should be a conscious decision based on quantitative analysis showing how best to achieve optimal late successional conditions. Since thinning has a long-term negative effect on reducing recruitment of dead wood, it should be treated as a limiting factor and used to drive the search for an alternative with the most appropriate mix of treated and untreated stands.</w:t>
      </w:r>
    </w:p>
    <w:p w:rsidR="00A45E15" w:rsidRDefault="00A45E15" w:rsidP="00A45E15">
      <w:pPr>
        <w:spacing w:before="100" w:after="100"/>
      </w:pPr>
      <w:r>
        <w:lastRenderedPageBreak/>
        <w:t>It is useful to apply the concept of “habitat complementation” based on proximity of different stand types and different needs of wildlife. Some stand types provide shelter from predators and weather, while other stand types provide foraging opportunities. Recognize that the thoughtful juxtaposition of thinned and unthinned areas can provide habitat benefits greater than large homogeneous areas of either thinned or unthinned. There is a synergy to creation of a mosaic of thinned and unthinned stands that is greater than the sum of its parts. With this recognition, an important purpose of the NEPA document and the ultimate decision is to seek and find the most optimal mix of treated and untreated areas. Instead of an 80/20 mix of treated/untreated areas, consider a variety of combinations such as 60/40, 50/50, 40/60, and 20/80. Note that both the absolute proportion and the spatial pattern of treated and untreated must be considered.</w:t>
      </w:r>
    </w:p>
    <w:p w:rsidR="00A45E15" w:rsidRDefault="00A45E15" w:rsidP="00A45E15">
      <w:pPr>
        <w:pStyle w:val="contentpagetext"/>
      </w:pPr>
      <w:r>
        <w:t>Consider the ecological costs and benefits of both thinned areas and unthinned areas. Thinned areas grow big trees (but fewer of them), while unthinned areas recruit more dead wood habitat structure in the short and long-term. In order to accomplish real ecological restoration in young stands we need to plan for and implement both thinned areas and unthinned areas.</w:t>
      </w:r>
    </w:p>
    <w:p w:rsidR="00A45E15" w:rsidRDefault="00A45E15" w:rsidP="00A45E15">
      <w:pPr>
        <w:spacing w:before="100" w:after="100"/>
      </w:pPr>
      <w:r>
        <w:t>Determining the appropriate scale of thinned and unthinned areas is a critical decision which requires clear objectives and quantitative analysis. One necessary component of such an analysis is to determine how many green trees are needed at what density in order to recruit sufficient snags over time (both short and long-term) to achieve 50-80% DecAID tolerance levels across the project area.</w:t>
      </w:r>
    </w:p>
    <w:p w:rsidR="00A45E15" w:rsidRDefault="00A45E15" w:rsidP="00A45E15">
      <w:r>
        <w:t xml:space="preserve">It is important to integrate the analysis of road access and the optimal mix of treated and untreated areas. Since road construction has serious adverse impacts on soil, water, weeds, and wildlife, and because some areas will contribute to ecological goals while not being thinned, the agency should just allocate inaccessible areas to the untreated portion of the mix. This will lead to complementary benefits - avoided road impacts, and ecological benefits associated with dense forest and long-term dead wood recruitment. </w:t>
      </w:r>
    </w:p>
    <w:p w:rsidR="00A45E15" w:rsidRDefault="00A45E15" w:rsidP="00A45E15"/>
    <w:p w:rsidR="00A45E15" w:rsidRDefault="00A45E15" w:rsidP="00A45E15">
      <w:r>
        <w:t>Big game cover and forage requirements, and dead wood habitat recruitment represent good tools to help optimize the mix of treated and untreated stands and the scale and extent of untreated skips and heavily-thinned “gaps” within treated stands. Thinned areas may provide better forage opportunities for big game, while untreated skips offer essential hiding cover for big game and other wildlife. Thinned and regenerated areas are not expected to recruit adequate numbers of snags and dead wood habitat over time, while untreated areas will recruit near-natural levels of dead wood habitat. The need for well-distributed patches of relatively dense forest where snags are continuously recruited is a good lens through which to think about optimizing the mix of treated and untreated stands, as well as the scale and extent of skips and heavily-thinned “gaps” within treated stands. The agency should consider alternatives with different mixes of treated and untreated areas for this purpose.</w:t>
      </w:r>
    </w:p>
    <w:p w:rsidR="00A45E15" w:rsidRDefault="00A45E15" w:rsidP="00A45E15"/>
    <w:p w:rsidR="00A45E15" w:rsidRDefault="00A45E15" w:rsidP="00A45E15">
      <w:r>
        <w:t>When confronted with trade-offs, the agency must find a rational basis for emphasizing one set of benefits versus another. The agency has a NEPA obligation to consider all reasonable alternatives. When there may exist a NEPA alternative that minimizes the trade-offs and offers an optimal mix of benefits from treated and untreated areas, the agency must disclose the existence of that alternative and compare the effects of the optimal mix, to other alternatives with sub-optimal mixes of treatments.</w:t>
      </w:r>
    </w:p>
    <w:p w:rsidR="00A45E15" w:rsidRDefault="00A45E15" w:rsidP="00A45E15"/>
    <w:p w:rsidR="00A45E15" w:rsidRDefault="00A45E15" w:rsidP="00A45E15">
      <w:r>
        <w:t xml:space="preserve">The Council on Environmental Quality (CEQ) regulations for implementing the National Environmental Policy Act (NEPA) call on agencies to “Use the NEPA process to identify and assess the reasonable alternatives to proposed actions that will avoid or minimize adverse effects of these actions upon the quality of the human environment.” 40 CFR 1502, 1500.2 (e). The CEQ regulations require that agencies specify “the alternative or alternatives which were considered to be environmentally preferable” (40 CFR § 1505.2(b)). “Environmentally preferable” is interpreted to mean </w:t>
      </w:r>
      <w:r w:rsidRPr="00C821F1">
        <w:rPr>
          <w:i/>
        </w:rPr>
        <w:t>the alternative(s) that would cause the least damage to the biological and physical components of the environment, and which best protects, preserves, and enhances, historic, cultural, and natural resources</w:t>
      </w:r>
      <w:r>
        <w:t xml:space="preserve"> (CEQ, 40 Most Asked Questions Concerning CEQs National Environmental Policy Act Regulations, 46 Federal Register 18026).” NEPA mandates that an agency “shall to the fullest extent possible: use the NEPA process to identify and assess the </w:t>
      </w:r>
      <w:r w:rsidRPr="00837ED1">
        <w:rPr>
          <w:i/>
        </w:rPr>
        <w:t>reasonable alternatives</w:t>
      </w:r>
      <w:r>
        <w:t xml:space="preserve"> to proposed actions that will </w:t>
      </w:r>
      <w:r w:rsidRPr="00837ED1">
        <w:rPr>
          <w:i/>
        </w:rPr>
        <w:t>avoid or minimize adverse effects</w:t>
      </w:r>
      <w:r>
        <w:t xml:space="preserve"> of these action upon the quality of the human environment.” 40 C.F.R. § 1500.2(e). NEPA also requires the agency to “study, develop, and describe appropriate alternatives to the recommended courses of action in any proposal which involves </w:t>
      </w:r>
      <w:r w:rsidRPr="00837ED1">
        <w:rPr>
          <w:i/>
        </w:rPr>
        <w:t>unresolved conflicts</w:t>
      </w:r>
      <w:r>
        <w:t xml:space="preserve"> concerning alternative uses of available resources...” Taken together, this means the agency is required to identify an alternative that provides an optimal mix of treated and untreated areas. </w:t>
      </w:r>
    </w:p>
    <w:p w:rsidR="00A45E15" w:rsidRDefault="00A45E15" w:rsidP="00A45E15"/>
    <w:p w:rsidR="00A45E15" w:rsidRDefault="00A45E15" w:rsidP="00A45E15">
      <w:pPr>
        <w:autoSpaceDE w:val="0"/>
        <w:autoSpaceDN w:val="0"/>
        <w:adjustRightInd w:val="0"/>
      </w:pPr>
      <w:r>
        <w:t xml:space="preserve">The NEPA analysis must recognize the value of untreated areas to provide benefits like dense forest cover, snag recruitment, soil/water quality, carbon storage, etc. Recognize that forests are naturally adaptive and natural processes will accomplish many of the benefits attributed to thinning. “Counter to many regional studies, our results indicated that treated and long-unaltered, untreated areas may be moving in a similar direction. Treated and untreated areas experienced declines in tree density, increases in the size of the average individual, and losses of surface fuels in most size classes. The number of large trees increased in untreated areas, but decreased in treated areas. Our results suggested that untreated areas may be naturally recovering from the large disturbances associated with resource extraction and development in the late 1800s, and that natural recovery processes, including </w:t>
      </w:r>
      <w:proofErr w:type="spellStart"/>
      <w:r>
        <w:t>self thinning</w:t>
      </w:r>
      <w:proofErr w:type="spellEnd"/>
      <w:r>
        <w:t>, are taking hold. ... In a study of forest restoration need across eastern Washington and Oregon, over 25% of required restoration could be achieved through transition to later stages of forest stand development through successional processes as western landscapes recover from widespread historic degradation (</w:t>
      </w:r>
      <w:proofErr w:type="spellStart"/>
      <w:r>
        <w:t>Haugo</w:t>
      </w:r>
      <w:proofErr w:type="spellEnd"/>
      <w:r>
        <w:t xml:space="preserve"> et al., 2015).” </w:t>
      </w:r>
      <w:proofErr w:type="spellStart"/>
      <w:r w:rsidRPr="00EB67F9">
        <w:t>Zachmann</w:t>
      </w:r>
      <w:proofErr w:type="spellEnd"/>
      <w:r w:rsidRPr="00EB67F9">
        <w:t>, L. J., D. W. Shaw, and B. G. Dickson. 2018.</w:t>
      </w:r>
      <w:r>
        <w:t xml:space="preserve"> </w:t>
      </w:r>
      <w:r w:rsidRPr="00EB67F9">
        <w:t>Prescribed fire and natural recovery produce similar long-term patterns of change in forest structure in the Lake Tahoe basin, California. Forest Ecology and Management 409:276–287.</w:t>
      </w:r>
      <w:r>
        <w:t xml:space="preserve"> </w:t>
      </w:r>
      <w:hyperlink r:id="rId27" w:history="1">
        <w:r w:rsidRPr="00EB67F9">
          <w:rPr>
            <w:rStyle w:val="Hyperlink"/>
          </w:rPr>
          <w:t>http://www.csp-inc.org/wp-content/uploads/2017/11/Zachmann_et_al_2017.pdf</w:t>
        </w:r>
      </w:hyperlink>
      <w:r w:rsidRPr="00EB67F9">
        <w:t xml:space="preserve"> </w:t>
      </w:r>
    </w:p>
    <w:p w:rsidR="00A45E15" w:rsidRDefault="00A45E15" w:rsidP="00A45E15">
      <w:pPr>
        <w:autoSpaceDE w:val="0"/>
        <w:autoSpaceDN w:val="0"/>
        <w:adjustRightInd w:val="0"/>
      </w:pPr>
    </w:p>
    <w:p w:rsidR="00A45E15" w:rsidRPr="000D3BB0" w:rsidRDefault="00A45E15" w:rsidP="00A45E15">
      <w:pPr>
        <w:rPr>
          <w:color w:val="000000"/>
        </w:rPr>
      </w:pPr>
      <w:r w:rsidRPr="00B36AEE">
        <w:rPr>
          <w:color w:val="000000"/>
        </w:rPr>
        <w:t>Many restoration goals can be met by simply letting forests grow and proceed through the natural stages of succession, or by working with natural</w:t>
      </w:r>
      <w:r>
        <w:rPr>
          <w:color w:val="000000"/>
        </w:rPr>
        <w:t xml:space="preserve"> </w:t>
      </w:r>
      <w:r w:rsidRPr="00B36AEE">
        <w:rPr>
          <w:color w:val="000000"/>
        </w:rPr>
        <w:t xml:space="preserve">or prescribed fire and then letting forests grow. </w:t>
      </w:r>
      <w:proofErr w:type="spellStart"/>
      <w:r w:rsidRPr="000D3BB0">
        <w:rPr>
          <w:color w:val="000000"/>
        </w:rPr>
        <w:t>Haugo</w:t>
      </w:r>
      <w:proofErr w:type="spellEnd"/>
      <w:r w:rsidRPr="000D3BB0">
        <w:rPr>
          <w:color w:val="000000"/>
        </w:rPr>
        <w:t xml:space="preserve"> et al (2017) looked at forest restoration needs across the dry forests of Oregon and Washington and found -</w:t>
      </w:r>
    </w:p>
    <w:p w:rsidR="00A45E15" w:rsidRPr="000D3BB0" w:rsidRDefault="00A45E15" w:rsidP="00A45E15">
      <w:pPr>
        <w:ind w:left="720"/>
        <w:rPr>
          <w:color w:val="000000"/>
        </w:rPr>
      </w:pPr>
      <w:r w:rsidRPr="000D3BB0">
        <w:rPr>
          <w:color w:val="000000"/>
        </w:rPr>
        <w:t xml:space="preserve">... that approximately 41% (4,742,000 ha) of all coniferous forest in eastern Washington and eastern and southwestern Oregon was in need of a transition to a different s-class [successional/structural stages] in order to restore forest structure to a NRV reference condition. Across these regions Disturbance then Succession was the most common </w:t>
      </w:r>
      <w:r w:rsidRPr="000D3BB0">
        <w:rPr>
          <w:color w:val="000000"/>
        </w:rPr>
        <w:lastRenderedPageBreak/>
        <w:t>restoration need category (20% of all forests, 5,678,000 ha) followed by Disturbance Only (14%, 3,920,000 ha) and Succession Only (7%, 2,120,000 ha; </w:t>
      </w:r>
      <w:bookmarkStart w:id="10" w:name="bt0015"/>
      <w:r w:rsidRPr="000D3BB0">
        <w:rPr>
          <w:color w:val="000000"/>
        </w:rPr>
        <w:fldChar w:fldCharType="begin"/>
      </w:r>
      <w:r w:rsidRPr="000D3BB0">
        <w:rPr>
          <w:color w:val="000000"/>
        </w:rPr>
        <w:instrText xml:space="preserve"> HYPERLINK "https://www.sciencedirect.com/science/article/pii/S0378112714005519?via%3Dihub" \l "t0015" </w:instrText>
      </w:r>
      <w:r w:rsidRPr="000D3BB0">
        <w:rPr>
          <w:color w:val="000000"/>
        </w:rPr>
        <w:fldChar w:fldCharType="separate"/>
      </w:r>
      <w:r w:rsidRPr="000D3BB0">
        <w:rPr>
          <w:rStyle w:val="Hyperlink"/>
          <w:color w:val="000000"/>
        </w:rPr>
        <w:t>Table 3</w:t>
      </w:r>
      <w:r w:rsidRPr="000D3BB0">
        <w:rPr>
          <w:color w:val="000000"/>
        </w:rPr>
        <w:fldChar w:fldCharType="end"/>
      </w:r>
      <w:bookmarkEnd w:id="10"/>
      <w:r w:rsidRPr="000D3BB0">
        <w:rPr>
          <w:color w:val="000000"/>
        </w:rPr>
        <w:t>). On the largest individual ownership, the US Forest Service, approximately 38% (2,412,000 ha) of coniferous forests was in need of transition to a different s-class. ... Overall restoration need was higher on Bureau of Land Management, State, and Private forests (52%, 45%, and 45% of forests per respective ownership) with Disturbance then Succession, the most common restoration need category on these ownerships (</w:t>
      </w:r>
      <w:hyperlink r:id="rId28" w:anchor="t0015" w:history="1">
        <w:r w:rsidRPr="000D3BB0">
          <w:rPr>
            <w:rStyle w:val="Hyperlink"/>
            <w:color w:val="000000"/>
          </w:rPr>
          <w:t>Table 3</w:t>
        </w:r>
      </w:hyperlink>
      <w:r w:rsidRPr="000D3BB0">
        <w:rPr>
          <w:color w:val="000000"/>
        </w:rPr>
        <w:t>).</w:t>
      </w:r>
    </w:p>
    <w:p w:rsidR="00A45E15" w:rsidRPr="000D3BB0" w:rsidRDefault="00A45E15" w:rsidP="00A45E15">
      <w:pPr>
        <w:ind w:left="720"/>
        <w:rPr>
          <w:color w:val="000000"/>
        </w:rPr>
      </w:pPr>
      <w:r w:rsidRPr="000D3BB0">
        <w:rPr>
          <w:color w:val="000000"/>
        </w:rPr>
        <w:t>...</w:t>
      </w:r>
    </w:p>
    <w:p w:rsidR="00A45E15" w:rsidRPr="000D3BB0" w:rsidRDefault="00A45E15" w:rsidP="00A45E15">
      <w:pPr>
        <w:ind w:left="720"/>
        <w:rPr>
          <w:color w:val="000000"/>
        </w:rPr>
      </w:pPr>
      <w:r w:rsidRPr="000D3BB0">
        <w:rPr>
          <w:color w:val="000000"/>
        </w:rPr>
        <w:t>Within the vast majority of the watersheds we evaluated, disturbance alone cannot restore NRV forest structure. Deficits in late development forest structure were clearly evident; succession into later development s-classes was required in over half (66%) of the total restoration needs across the region. </w:t>
      </w:r>
    </w:p>
    <w:p w:rsidR="00A45E15" w:rsidRPr="000D3BB0" w:rsidRDefault="00A45E15" w:rsidP="00A45E15">
      <w:pPr>
        <w:ind w:left="720"/>
        <w:rPr>
          <w:color w:val="000000"/>
        </w:rPr>
      </w:pPr>
      <w:r w:rsidRPr="000D3BB0">
        <w:rPr>
          <w:color w:val="000000"/>
        </w:rPr>
        <w:t>...</w:t>
      </w:r>
    </w:p>
    <w:p w:rsidR="00A45E15" w:rsidRPr="000D3BB0" w:rsidRDefault="00A45E15" w:rsidP="00A45E15">
      <w:pPr>
        <w:ind w:left="720"/>
        <w:rPr>
          <w:color w:val="000000"/>
        </w:rPr>
      </w:pPr>
      <w:r w:rsidRPr="000D3BB0">
        <w:rPr>
          <w:color w:val="000000"/>
        </w:rPr>
        <w:t>We found that time to transition into later development structural classes through successional processes was required on approximately 3.2 million ha (over 25% of all coniferous forests). On an estimated 2.3 million ha we identified that disturbance followed by succession was required to restore NRV forest structure.</w:t>
      </w:r>
    </w:p>
    <w:p w:rsidR="00A45E15" w:rsidRPr="006622A6" w:rsidRDefault="00A45E15" w:rsidP="00A45E15">
      <w:pPr>
        <w:autoSpaceDE w:val="0"/>
        <w:autoSpaceDN w:val="0"/>
        <w:adjustRightInd w:val="0"/>
      </w:pPr>
      <w:proofErr w:type="spellStart"/>
      <w:r w:rsidRPr="000D3BB0">
        <w:rPr>
          <w:color w:val="000000"/>
        </w:rPr>
        <w:t>Haugo</w:t>
      </w:r>
      <w:proofErr w:type="spellEnd"/>
      <w:r w:rsidRPr="000D3BB0">
        <w:rPr>
          <w:color w:val="000000"/>
        </w:rPr>
        <w:t xml:space="preserve">, R., </w:t>
      </w:r>
      <w:proofErr w:type="spellStart"/>
      <w:r w:rsidRPr="000D3BB0">
        <w:rPr>
          <w:color w:val="000000"/>
        </w:rPr>
        <w:t>Zanger</w:t>
      </w:r>
      <w:proofErr w:type="spellEnd"/>
      <w:r w:rsidRPr="000D3BB0">
        <w:rPr>
          <w:color w:val="000000"/>
        </w:rPr>
        <w:t xml:space="preserve">, C., </w:t>
      </w:r>
      <w:proofErr w:type="spellStart"/>
      <w:r w:rsidRPr="000D3BB0">
        <w:rPr>
          <w:color w:val="000000"/>
        </w:rPr>
        <w:t>DeMeo</w:t>
      </w:r>
      <w:proofErr w:type="spellEnd"/>
      <w:r w:rsidRPr="000D3BB0">
        <w:rPr>
          <w:color w:val="000000"/>
        </w:rPr>
        <w:t xml:space="preserve">, T., Ringo, C., </w:t>
      </w:r>
      <w:proofErr w:type="spellStart"/>
      <w:r w:rsidRPr="000D3BB0">
        <w:rPr>
          <w:color w:val="000000"/>
        </w:rPr>
        <w:t>Shlisky</w:t>
      </w:r>
      <w:proofErr w:type="spellEnd"/>
      <w:r w:rsidRPr="000D3BB0">
        <w:rPr>
          <w:color w:val="000000"/>
        </w:rPr>
        <w:t xml:space="preserve">, A., Blankenship, K., Simpson, M., </w:t>
      </w:r>
      <w:proofErr w:type="spellStart"/>
      <w:r w:rsidRPr="000D3BB0">
        <w:rPr>
          <w:color w:val="000000"/>
        </w:rPr>
        <w:t>Mellen</w:t>
      </w:r>
      <w:proofErr w:type="spellEnd"/>
      <w:r w:rsidRPr="000D3BB0">
        <w:rPr>
          <w:color w:val="000000"/>
        </w:rPr>
        <w:t xml:space="preserve">-McLean, K., </w:t>
      </w:r>
      <w:proofErr w:type="spellStart"/>
      <w:r w:rsidRPr="000D3BB0">
        <w:rPr>
          <w:color w:val="000000"/>
        </w:rPr>
        <w:t>Kertis</w:t>
      </w:r>
      <w:proofErr w:type="spellEnd"/>
      <w:r w:rsidRPr="000D3BB0">
        <w:rPr>
          <w:color w:val="000000"/>
        </w:rPr>
        <w:t>, J., Stern, M., 2015. A new approach to evaluate forest structure restoration needs across Oregon and Washington, USA. For. Ecol. Manage. 335, 37–50.</w:t>
      </w:r>
      <w:r w:rsidRPr="006622A6">
        <w:t xml:space="preserve"> </w:t>
      </w:r>
      <w:hyperlink r:id="rId29" w:history="1">
        <w:r w:rsidRPr="006622A6">
          <w:rPr>
            <w:rStyle w:val="Hyperlink"/>
          </w:rPr>
          <w:t>https://doi.org/10.1016/j.foreco.2014.09.014</w:t>
        </w:r>
      </w:hyperlink>
      <w:r w:rsidRPr="006622A6">
        <w:t>.</w:t>
      </w:r>
    </w:p>
    <w:p w:rsidR="00A45E15" w:rsidRDefault="00A45E15" w:rsidP="00A45E15"/>
    <w:p w:rsidR="00A45E15" w:rsidRDefault="00465AB0" w:rsidP="00A45E15">
      <w:pPr>
        <w:pStyle w:val="Heading2"/>
        <w:keepLines w:val="0"/>
        <w:numPr>
          <w:ilvl w:val="1"/>
          <w:numId w:val="0"/>
        </w:numPr>
        <w:tabs>
          <w:tab w:val="num" w:pos="0"/>
        </w:tabs>
        <w:suppressAutoHyphens/>
        <w:spacing w:before="0" w:line="240" w:lineRule="auto"/>
        <w:ind w:left="576" w:hanging="576"/>
      </w:pPr>
      <w:bookmarkStart w:id="11" w:name="_Toc3557833"/>
      <w:bookmarkStart w:id="12" w:name="_Toc176959864"/>
      <w:r>
        <w:t xml:space="preserve">The EA Needs to </w:t>
      </w:r>
      <w:r w:rsidR="00A45E15">
        <w:t>Disclose and Mitigate Trade-offs</w:t>
      </w:r>
      <w:bookmarkEnd w:id="11"/>
      <w:bookmarkEnd w:id="12"/>
    </w:p>
    <w:p w:rsidR="00A45E15" w:rsidRDefault="00A45E15" w:rsidP="00A45E15">
      <w:r>
        <w:t>Land management inevitably involves trade-offs among competing uses of the public lands. Alternatives should be developed to resolve trade-offs in different ways.</w:t>
      </w:r>
    </w:p>
    <w:p w:rsidR="00A45E15" w:rsidRDefault="00A45E15" w:rsidP="00A45E15"/>
    <w:p w:rsidR="00A45E15" w:rsidRDefault="00A45E15" w:rsidP="00A45E15">
      <w:r>
        <w:t xml:space="preserve">The agency must avoid portraying the effects of the proposed action in uniformly positive terms, while describing the effects of no action in uniformly negative terms. </w:t>
      </w:r>
    </w:p>
    <w:p w:rsidR="00A45E15" w:rsidRDefault="00A45E15" w:rsidP="00A45E15"/>
    <w:p w:rsidR="00A45E15" w:rsidRDefault="00A45E15" w:rsidP="00A45E15">
      <w:r>
        <w:t xml:space="preserve">If the agency purpose and need includes a mix of restoration goals and timber production, the NEPA analysis needs to clearly disclose to what extent optimal restoration outcomes are being sacrificed in order to  produce timber volume. It is often the case that optimal restoration calls for retention of more trees, especially commercial-sized trees, that serve a variety of ecosystem services. Retaining optimal levels of medium and large trees –  </w:t>
      </w:r>
    </w:p>
    <w:p w:rsidR="00A45E15" w:rsidRDefault="00A45E15" w:rsidP="00A45E15">
      <w:pPr>
        <w:numPr>
          <w:ilvl w:val="0"/>
          <w:numId w:val="5"/>
        </w:numPr>
        <w:suppressAutoHyphens/>
        <w:spacing w:line="240" w:lineRule="auto"/>
      </w:pPr>
      <w:r>
        <w:t>Provides habitat for wildlife that depend on (</w:t>
      </w:r>
      <w:proofErr w:type="spellStart"/>
      <w:r>
        <w:t>i</w:t>
      </w:r>
      <w:proofErr w:type="spellEnd"/>
      <w:r>
        <w:t xml:space="preserve">) relatively dense forests and/or (ii) abundant snags and dead wood; </w:t>
      </w:r>
    </w:p>
    <w:p w:rsidR="00A45E15" w:rsidRDefault="00A45E15" w:rsidP="00A45E15">
      <w:pPr>
        <w:numPr>
          <w:ilvl w:val="0"/>
          <w:numId w:val="5"/>
        </w:numPr>
        <w:suppressAutoHyphens/>
        <w:spacing w:line="240" w:lineRule="auto"/>
      </w:pPr>
      <w:r>
        <w:t xml:space="preserve">Stores carbon that helps moderate global climate change; </w:t>
      </w:r>
    </w:p>
    <w:p w:rsidR="00A45E15" w:rsidRDefault="00A45E15" w:rsidP="00A45E15">
      <w:pPr>
        <w:numPr>
          <w:ilvl w:val="0"/>
          <w:numId w:val="5"/>
        </w:numPr>
        <w:suppressAutoHyphens/>
        <w:spacing w:line="240" w:lineRule="auto"/>
      </w:pPr>
      <w:r>
        <w:t xml:space="preserve">Enhances recreational/scenic values; </w:t>
      </w:r>
    </w:p>
    <w:p w:rsidR="00A45E15" w:rsidRDefault="00A45E15" w:rsidP="00A45E15">
      <w:pPr>
        <w:numPr>
          <w:ilvl w:val="0"/>
          <w:numId w:val="5"/>
        </w:numPr>
        <w:suppressAutoHyphens/>
        <w:spacing w:line="240" w:lineRule="auto"/>
      </w:pPr>
      <w:r>
        <w:t>Suppresses the growth of hazardous ladder fuels and reduces future maintenance costs associated with removing non-commercial in-growth; and</w:t>
      </w:r>
    </w:p>
    <w:p w:rsidR="00A45E15" w:rsidRDefault="00A45E15" w:rsidP="00A45E15">
      <w:pPr>
        <w:numPr>
          <w:ilvl w:val="0"/>
          <w:numId w:val="5"/>
        </w:numPr>
        <w:suppressAutoHyphens/>
        <w:spacing w:line="240" w:lineRule="auto"/>
      </w:pPr>
      <w:r>
        <w:t>Provides cool/moist microclimate buffering that benefits wildlife, recreation, and moderates fire hazard;</w:t>
      </w:r>
    </w:p>
    <w:p w:rsidR="00A45E15" w:rsidRDefault="00A45E15" w:rsidP="00A45E15">
      <w:r>
        <w:t xml:space="preserve">Removing trees to meet timber objectives sacrifices all these values. The agency needs to carefully disclose the extent to which these public values are sacrificed in order to achieve timber volume objectives. Clearly disclosing such trade-offs helps the public provide informed </w:t>
      </w:r>
      <w:r>
        <w:lastRenderedPageBreak/>
        <w:t>comment, and helps achieve the inform</w:t>
      </w:r>
      <w:r w:rsidR="00AB1A25">
        <w:t>e</w:t>
      </w:r>
      <w:r>
        <w:t>d decision-making requirements of NEPA. It also furthers the requirements of NEPA related to:</w:t>
      </w:r>
    </w:p>
    <w:p w:rsidR="00A45E15" w:rsidRDefault="00A45E15" w:rsidP="00A45E15">
      <w:pPr>
        <w:numPr>
          <w:ilvl w:val="0"/>
          <w:numId w:val="6"/>
        </w:numPr>
        <w:suppressAutoHyphens/>
        <w:spacing w:line="240" w:lineRule="auto"/>
      </w:pPr>
      <w:r>
        <w:t xml:space="preserve">“Study, develop, and describe appropriate alternatives to recommended courses of action in any proposal which involves unresolved conflicts concerning alternative uses of available resources.” 40 CFR §§1501.2(c), 1507.2(d), </w:t>
      </w:r>
      <w:r w:rsidRPr="00917162">
        <w:t>42 USC § 4332</w:t>
      </w:r>
      <w:r>
        <w:t>(2)(E).</w:t>
      </w:r>
    </w:p>
    <w:p w:rsidR="00A45E15" w:rsidRDefault="00A45E15" w:rsidP="00A45E15">
      <w:pPr>
        <w:numPr>
          <w:ilvl w:val="0"/>
          <w:numId w:val="6"/>
        </w:numPr>
        <w:suppressAutoHyphens/>
        <w:spacing w:line="240" w:lineRule="auto"/>
      </w:pPr>
      <w:r>
        <w:t xml:space="preserve">“… the relationship between short-term uses of man’s environment and the maintenance and enhancement of long-term productivity, …”40 CFR §1502.16, </w:t>
      </w:r>
      <w:r w:rsidRPr="00917162">
        <w:t>42 USC § 4332</w:t>
      </w:r>
      <w:r>
        <w:t xml:space="preserve">(2)(C). </w:t>
      </w:r>
      <w:hyperlink r:id="rId30" w:history="1">
        <w:r w:rsidRPr="00453F20">
          <w:rPr>
            <w:rStyle w:val="Hyperlink"/>
          </w:rPr>
          <w:t>https://www.energy.gov/sites/prod/files/NEPA-40CFR1500_1508.pdf</w:t>
        </w:r>
      </w:hyperlink>
      <w:r>
        <w:t xml:space="preserve"> </w:t>
      </w:r>
    </w:p>
    <w:p w:rsidR="00A45E15" w:rsidRDefault="00A45E15" w:rsidP="00A45E15"/>
    <w:p w:rsidR="00A45E15" w:rsidRDefault="00A45E15" w:rsidP="00A45E15">
      <w:r>
        <w:t>NEPA requires disclosure of the trade-offs among competing uses.</w:t>
      </w:r>
    </w:p>
    <w:p w:rsidR="00A45E15" w:rsidRDefault="00A45E15" w:rsidP="00A45E15">
      <w:pPr>
        <w:ind w:left="720"/>
      </w:pPr>
      <w:r>
        <w:t>Project-level planning and implementation pursues management activities in accordance with forest plans to enhance flows of particular ecosystem services—to improve a specific fish or wildlife population, for example, or reduce the likelihood that natural disturbance (e.g., wildfire) might adversely affect flows of ecosystem services. However, many ecosystem services and the associated landscape conditions from which they derive are interrelated in either conflicting or synergistic ways such that changes in one service necessarily involve changes in another service. In some cases, increased flows of one service may only be possible by accepting decreased flows of another service. Evaluating and communicating expected management outcomes necessarily must account for these interrelationships and the tradeoffs—the exchange of one level of service for another—made necessary when implementing a project that will affect multiple ecosystem service flows.</w:t>
      </w:r>
    </w:p>
    <w:p w:rsidR="00A45E15" w:rsidRDefault="00A45E15" w:rsidP="00A45E15">
      <w:pPr>
        <w:ind w:left="720"/>
      </w:pPr>
      <w:r>
        <w:t xml:space="preserve">Conceptually, tradeoffs among ecosystem services are best illustrated by using the economic concept of “production possibility frontiers” (e.g., Bowes and </w:t>
      </w:r>
      <w:proofErr w:type="spellStart"/>
      <w:r>
        <w:t>Krutilla</w:t>
      </w:r>
      <w:proofErr w:type="spellEnd"/>
      <w:r>
        <w:t xml:space="preserve"> 1989: 49, Stevens and Montgomery 2002). Production possibility frontiers show the combinations and levels of ecosystem services that can be produced on a landscape given that landscape’s capacity to produce those services (e.g., its size and biophysical features) and management inputs (e.g., labor) and capital improvements (e.g., roads, trails, culverts).</w:t>
      </w:r>
    </w:p>
    <w:p w:rsidR="00A45E15" w:rsidRDefault="00A45E15" w:rsidP="00A45E15">
      <w:pPr>
        <w:ind w:left="720"/>
      </w:pPr>
      <w:r>
        <w:t>…</w:t>
      </w:r>
    </w:p>
    <w:p w:rsidR="00A45E15" w:rsidRDefault="00A45E15" w:rsidP="00A45E15">
      <w:pPr>
        <w:autoSpaceDE w:val="0"/>
        <w:ind w:left="720"/>
      </w:pPr>
      <w:r>
        <w:t>Understanding the production possibilities for a given landscape enables managers to identify and weigh the possible output combinations that might be expected on a given landscape, and may make it more feasible to avoid unnecessary tradeoffs.</w:t>
      </w:r>
    </w:p>
    <w:p w:rsidR="00A45E15" w:rsidRDefault="00A45E15" w:rsidP="00A45E15">
      <w:pPr>
        <w:ind w:left="720"/>
      </w:pPr>
      <w:r>
        <w:t>…</w:t>
      </w:r>
    </w:p>
    <w:p w:rsidR="00A45E15" w:rsidRDefault="00A45E15" w:rsidP="00A45E15">
      <w:pPr>
        <w:ind w:left="720"/>
      </w:pPr>
      <w:r>
        <w:t xml:space="preserve">Another important step in evaluating forest management tradeoffs is characterizing how valued ecosystem services are likely to change in response to management activities under consideration. … Ideally, analysis of the likely outcomes of landscape management would be based on credible scientific information linking expected changes in ecosystem services to specific changes in landscape conditions and processes resulting from proposed plans and projects. The quantity and quality of scientific information available for evaluating management effects in this way can differ depending on how well particular ecosystem processes are understood and how well they can be described by ecologists and biophysical scientists as changes in ecosystem services. </w:t>
      </w:r>
    </w:p>
    <w:p w:rsidR="00A45E15" w:rsidRDefault="00A45E15" w:rsidP="00A45E15">
      <w:pPr>
        <w:ind w:left="720"/>
      </w:pPr>
      <w:r>
        <w:t xml:space="preserve">… [M]any economists refer to a need for ecological production functions (e.g., </w:t>
      </w:r>
      <w:proofErr w:type="spellStart"/>
      <w:r>
        <w:t>Polasky</w:t>
      </w:r>
      <w:proofErr w:type="spellEnd"/>
      <w:r>
        <w:t xml:space="preserve"> 2008) that link the production of a given ecosystem service in space and time to landscape conditions and processes necessary to its production. …</w:t>
      </w:r>
    </w:p>
    <w:p w:rsidR="00A45E15" w:rsidRDefault="00A45E15" w:rsidP="00A45E15">
      <w:pPr>
        <w:ind w:left="720"/>
      </w:pPr>
      <w:r>
        <w:lastRenderedPageBreak/>
        <w:t xml:space="preserve">Whether dealing with empirical data and models or qualitative data and narratives, evaluating and communicating expected management outcomes calls for managers to (1) identify key landscape conditions that affect the quantity and quality of valued ecosystem services; (2) characterize key relations between those landscape conditions and the levels of ecosystem services produced; and (3) describe the degree of uncertainty in the data and models used to predict management outcomes. This process includes describing the spatial and temporal aspects of expected outcomes. </w:t>
      </w:r>
    </w:p>
    <w:p w:rsidR="00A45E15" w:rsidRDefault="00A45E15" w:rsidP="00A45E15">
      <w:r>
        <w:t xml:space="preserve">Kline, Jeffrey D.; </w:t>
      </w:r>
      <w:proofErr w:type="spellStart"/>
      <w:r>
        <w:t>Mazzotta</w:t>
      </w:r>
      <w:proofErr w:type="spellEnd"/>
      <w:r>
        <w:t xml:space="preserve">, Marisa J. 2012. Evaluating trade-offs among ecosystem services in the management of public lands. Gen. Tech. Rep. PNW-GTR-865. Portland, R: U.S. Department of Agriculture, Forest Service, Pacific Northwest Research Station. 48 p. </w:t>
      </w:r>
      <w:hyperlink r:id="rId31" w:history="1">
        <w:r>
          <w:rPr>
            <w:rStyle w:val="Hyperlink"/>
          </w:rPr>
          <w:t>http://www.fs.fed.us/pnw/pubs/pnw_gtr865.pdf</w:t>
        </w:r>
      </w:hyperlink>
      <w:r>
        <w:t>.</w:t>
      </w:r>
    </w:p>
    <w:p w:rsidR="00A45E15" w:rsidRDefault="00A45E15" w:rsidP="00A45E15"/>
    <w:p w:rsidR="00A45E15" w:rsidRPr="006B1512" w:rsidRDefault="00A45E15" w:rsidP="00A45E15">
      <w:pPr>
        <w:ind w:left="720"/>
      </w:pPr>
      <w:r w:rsidRPr="006B1512">
        <w:t>[W]</w:t>
      </w:r>
      <w:proofErr w:type="spellStart"/>
      <w:r w:rsidRPr="006B1512">
        <w:t>hile</w:t>
      </w:r>
      <w:proofErr w:type="spellEnd"/>
      <w:r w:rsidRPr="006B1512">
        <w:t xml:space="preserve"> specific structural attributes of forest ecosystems have been correlated with certain species, it is uncertain how such species will respond to treatments designed to recreate these features. There is always the possibility that in our attempt to create a structural attribute we think is important, we eliminate another attribute that is equally important, but unrecognized. One example is that attempts to restore spotted owl habitat by heavily thinning to accelerate the development of large diameter nesting trees could actually delay spotted owl recovery by reducing production of the large down wood utilized by the species it preys upon (Forsman</w:t>
      </w:r>
      <w:r>
        <w:t xml:space="preserve"> </w:t>
      </w:r>
      <w:r w:rsidRPr="006B1512">
        <w:t>et al., 1984; Carey, 1995; North</w:t>
      </w:r>
      <w:r>
        <w:t xml:space="preserve"> </w:t>
      </w:r>
      <w:r w:rsidRPr="006B1512">
        <w:t>et al., 1999). Similarly, heavily thinning stands to accelerate the development of marbled murrelet nesting trees also create open stands with a dense understory that is ideal habitat for a number of corvid species that prey on marbled murrelet nest eggs (USFWS, 2010). Riparian thinning efforts to create long-term supplies of very large diameter instream wood that can initiate complex wood jam formation (e.g., key pieces) are also likely to reduce the supply of large diameter wood that will create pools (Beechie and Sibley, 1997; Beechie</w:t>
      </w:r>
      <w:r>
        <w:t xml:space="preserve"> </w:t>
      </w:r>
      <w:r w:rsidRPr="006B1512">
        <w:t>et al., 2000; Fox and Bolton, 2007). Thus, we suggest that any efforts to actively restore riparian forests for the benefit of certain species should be treated as scientific experiments and proceed cautiously, skeptically, and with robust pre- and post-treatment data collection efforts. Hypothesized effects of thinning on riparian forest structure and the use of that structure by targeted species should be tested against empirical data.</w:t>
      </w:r>
    </w:p>
    <w:p w:rsidR="000C35A9" w:rsidRDefault="00A45E15" w:rsidP="00A45E15">
      <w:r w:rsidRPr="006B1512">
        <w:t>Pollock, Michael M. and Timothy J. Beechie, 2014. Does Riparian Forest Restoration Thinning Enhance Biodiversity? The Ecological Importance of Large Wood.</w:t>
      </w:r>
      <w:r>
        <w:t xml:space="preserve"> </w:t>
      </w:r>
      <w:r w:rsidRPr="006B1512">
        <w:t>Journal of the American Water Resources Association (JAWRA) 50(3): 543-559. DOI: 10.1111/jawr.12206</w:t>
      </w:r>
      <w:r>
        <w:t xml:space="preserve">. </w:t>
      </w:r>
      <w:hyperlink r:id="rId32" w:history="1">
        <w:r w:rsidRPr="000A5A02">
          <w:rPr>
            <w:rStyle w:val="Hyperlink"/>
          </w:rPr>
          <w:t>http://oregon-stream-protection-coalition.com/wp-content/uploads/2014/07/Pollock-and-Beechie.-2014.-Riparian-thinning-and-biodiversity.pdf</w:t>
        </w:r>
      </w:hyperlink>
      <w:r>
        <w:t xml:space="preserve"> </w:t>
      </w:r>
    </w:p>
    <w:p w:rsidR="000C35A9" w:rsidRDefault="000C35A9" w:rsidP="00A45E15"/>
    <w:p w:rsidR="000C35A9" w:rsidRDefault="00B7164A" w:rsidP="00A45E15">
      <w:pPr>
        <w:pStyle w:val="Heading2"/>
        <w:keepLines w:val="0"/>
        <w:numPr>
          <w:ilvl w:val="1"/>
          <w:numId w:val="0"/>
        </w:numPr>
        <w:tabs>
          <w:tab w:val="num" w:pos="0"/>
        </w:tabs>
        <w:suppressAutoHyphens/>
        <w:spacing w:before="0" w:line="240" w:lineRule="auto"/>
        <w:ind w:left="576" w:hanging="576"/>
      </w:pPr>
      <w:bookmarkStart w:id="13" w:name="_Toc3557584"/>
      <w:bookmarkStart w:id="14" w:name="_Toc176959865"/>
      <w:r>
        <w:t>The EA Needs to Account for the Fact that t</w:t>
      </w:r>
      <w:bookmarkStart w:id="15" w:name="_GoBack"/>
      <w:bookmarkEnd w:id="15"/>
      <w:r w:rsidR="00A45E15" w:rsidRPr="00940052">
        <w:t>ree tipping does not fully mitigate for loss of functional wood caused by logging</w:t>
      </w:r>
      <w:bookmarkEnd w:id="13"/>
      <w:bookmarkEnd w:id="14"/>
    </w:p>
    <w:p w:rsidR="00A45E15" w:rsidRDefault="00A45E15" w:rsidP="00A45E15">
      <w:r>
        <w:t>If tree-tipping is considered as a mitigation for commercial removal of functional wood from riparian areas, recognize that tree tipping by itself (without logging) might provide some aquatic restoration benefits by accelerating recruitment of wood and creating growing space for residual trees, but tree tipping as mitigation for the adverse effects of logging is not well supported.</w:t>
      </w:r>
    </w:p>
    <w:p w:rsidR="00A45E15" w:rsidRDefault="00A45E15" w:rsidP="00A45E15"/>
    <w:p w:rsidR="00A45E15" w:rsidRPr="00940052" w:rsidRDefault="00A45E15" w:rsidP="00AB1A25">
      <w:r w:rsidRPr="00940052">
        <w:t xml:space="preserve">Chris </w:t>
      </w:r>
      <w:proofErr w:type="spellStart"/>
      <w:r w:rsidRPr="00940052">
        <w:t>Frissel</w:t>
      </w:r>
      <w:proofErr w:type="spellEnd"/>
      <w:r w:rsidRPr="00940052">
        <w:t xml:space="preserve"> says—</w:t>
      </w:r>
    </w:p>
    <w:p w:rsidR="00A45E15" w:rsidRPr="00940052" w:rsidRDefault="00A45E15" w:rsidP="00AB1A25">
      <w:pPr>
        <w:pStyle w:val="m-3792761644885117786m-1864121036372792218xydpfd80f7e7msonormal"/>
        <w:shd w:val="clear" w:color="auto" w:fill="FFFFFF"/>
        <w:spacing w:before="0" w:beforeAutospacing="0" w:after="0" w:afterAutospacing="0"/>
        <w:ind w:left="720" w:right="1080"/>
        <w:rPr>
          <w:color w:val="000000"/>
        </w:rPr>
      </w:pPr>
      <w:r w:rsidRPr="00940052">
        <w:rPr>
          <w:color w:val="000000"/>
        </w:rPr>
        <w:t>Benda et al. (2016) recently proposed “tree tipping” as a means of mitigating the effects of thinning on depletion of large wood recruitment.  This idea rests on the premise that setting aside a portion of logged trees within the riparian area for direct felling into stream channels can offset the medium and long-term reduction of wood recruitment to streams when natural mortality is reduced by riparian forest thinning, by increasing the directional efficiency and speed of debris delivery.  While Benda et al.’s successional modeling of wood recruitment effects through a century of post-treatment forest succession produces results similar to Pollock and Beechie (2014) with regard to thinning’s depletion of woody debris sources to streams, we find the utility of this model in justifying management practices is limited due to its simplification and non-specificity of key parameters known to govern natural wood dynamics in riparian areas.  For example, the model appears to represent only riparian areas dominated by stands of high-density post-clearcut Douglas-fir, but this is not a prevalent condition in many riparian areas in the Pacific Northwest, where even within extensive second-growth forest plantations, diverse species of conifer and hardwood trees naturally regenerate within most riparian areas. </w:t>
      </w:r>
    </w:p>
    <w:p w:rsidR="00A45E15" w:rsidRPr="00940052" w:rsidRDefault="00A45E15" w:rsidP="00A45E15">
      <w:pPr>
        <w:pStyle w:val="m-3792761644885117786m-1864121036372792218xydpfd80f7e7msonormal"/>
        <w:shd w:val="clear" w:color="auto" w:fill="FFFFFF"/>
        <w:spacing w:after="240" w:afterAutospacing="0"/>
        <w:ind w:left="720" w:right="1080"/>
        <w:rPr>
          <w:color w:val="000000"/>
        </w:rPr>
      </w:pPr>
      <w:r w:rsidRPr="00940052">
        <w:rPr>
          <w:color w:val="000000"/>
        </w:rPr>
        <w:t xml:space="preserve">Moreover, a variety of natural </w:t>
      </w:r>
      <w:proofErr w:type="spellStart"/>
      <w:r w:rsidRPr="00940052">
        <w:rPr>
          <w:color w:val="000000"/>
        </w:rPr>
        <w:t>gap</w:t>
      </w:r>
      <w:proofErr w:type="spellEnd"/>
      <w:r w:rsidRPr="00940052">
        <w:rPr>
          <w:color w:val="000000"/>
        </w:rPr>
        <w:t xml:space="preserve">-creating disturbance processes (Everest &amp; Reeves 2007), including windthrow, flood, fluvial erosion, slope erosion and deposition, herbivory, and pathogens often operate at substantially greater frequency in riparian areas than in adjacent uplands, but this is not acknowledged by Benda et al., nor apparently represented in their model.  Further, Benda et al.’s modeling does not appear to account for accelerated windthrow from increased wind </w:t>
      </w:r>
      <w:proofErr w:type="spellStart"/>
      <w:r w:rsidRPr="00940052">
        <w:rPr>
          <w:color w:val="000000"/>
        </w:rPr>
        <w:t>sheer</w:t>
      </w:r>
      <w:proofErr w:type="spellEnd"/>
      <w:r w:rsidRPr="00940052">
        <w:rPr>
          <w:color w:val="000000"/>
        </w:rPr>
        <w:t xml:space="preserve"> stress in riparian areas that is known to follow logging of adjacent uplands (</w:t>
      </w:r>
      <w:proofErr w:type="spellStart"/>
      <w:r w:rsidRPr="00940052">
        <w:rPr>
          <w:color w:val="000000"/>
        </w:rPr>
        <w:t>Liquori</w:t>
      </w:r>
      <w:proofErr w:type="spellEnd"/>
      <w:r w:rsidRPr="00940052">
        <w:rPr>
          <w:color w:val="000000"/>
        </w:rPr>
        <w:t xml:space="preserve"> 2006, MacDonald et al. 2003, </w:t>
      </w:r>
      <w:proofErr w:type="spellStart"/>
      <w:r w:rsidRPr="00940052">
        <w:rPr>
          <w:color w:val="000000"/>
        </w:rPr>
        <w:t>Huggard</w:t>
      </w:r>
      <w:proofErr w:type="spellEnd"/>
      <w:r w:rsidRPr="00940052">
        <w:rPr>
          <w:color w:val="000000"/>
        </w:rPr>
        <w:t xml:space="preserve"> et al. 1999).  Episodes of windthrow following thinning commonly result in mature live tree and standing snag densities and shade much lower than pre-disturbance conditions, and much lower than predicted by successional models that do not account for change in windthrow vulnerability (C.A. </w:t>
      </w:r>
      <w:proofErr w:type="spellStart"/>
      <w:r w:rsidRPr="00940052">
        <w:rPr>
          <w:color w:val="000000"/>
        </w:rPr>
        <w:t>Frissell</w:t>
      </w:r>
      <w:proofErr w:type="spellEnd"/>
      <w:r w:rsidRPr="00940052">
        <w:rPr>
          <w:color w:val="000000"/>
        </w:rPr>
        <w:t xml:space="preserve"> and M. Pollock, unpublished data). Moreover post-logging windthrow in riparian areas either replaces, or greatly magnifies the desired effect of tree tipping—that is, increasing wood recruitment in the near term by</w:t>
      </w:r>
      <w:r>
        <w:rPr>
          <w:rStyle w:val="m-3792761644885117786m-1864121036372792218xydpfd80f7e7msocommentreference"/>
          <w:color w:val="000000"/>
        </w:rPr>
        <w:t xml:space="preserve"> </w:t>
      </w:r>
      <w:r w:rsidRPr="00940052">
        <w:rPr>
          <w:color w:val="000000"/>
        </w:rPr>
        <w:t>reducing the supply of large wood to support recruitment to streams in future decades (</w:t>
      </w:r>
      <w:proofErr w:type="spellStart"/>
      <w:r w:rsidRPr="00940052">
        <w:rPr>
          <w:color w:val="000000"/>
        </w:rPr>
        <w:t>Liquori</w:t>
      </w:r>
      <w:proofErr w:type="spellEnd"/>
      <w:r w:rsidRPr="00940052">
        <w:rPr>
          <w:color w:val="000000"/>
        </w:rPr>
        <w:t xml:space="preserve"> 2006). </w:t>
      </w:r>
    </w:p>
    <w:p w:rsidR="00A45E15" w:rsidRPr="00940052" w:rsidRDefault="00A45E15" w:rsidP="00A45E15">
      <w:pPr>
        <w:pStyle w:val="m-3792761644885117786m-1864121036372792218xydpfd80f7e7msonormal"/>
        <w:shd w:val="clear" w:color="auto" w:fill="FFFFFF"/>
        <w:spacing w:after="240" w:afterAutospacing="0"/>
        <w:ind w:left="720" w:right="1080"/>
        <w:rPr>
          <w:color w:val="000000"/>
        </w:rPr>
      </w:pPr>
      <w:r w:rsidRPr="00940052">
        <w:rPr>
          <w:color w:val="000000"/>
        </w:rPr>
        <w:t xml:space="preserve">Benda et al. justify thinning in riparian areas on the basis of increasing the growth and eventual size of trees that are left uncut, but they do not detail the conditions under which tree size is ecologically critical;  more smaller pieces that are well-distributed and recruit frequently may convey more habitat benefit over time to some species and functions than do fewer, far more scattered larger pieces, except in very large streams where channel width exceeds the length of tree boles (Pollock and Beechie 2014, Collins et al. </w:t>
      </w:r>
      <w:r w:rsidRPr="00940052">
        <w:rPr>
          <w:color w:val="000000"/>
        </w:rPr>
        <w:lastRenderedPageBreak/>
        <w:t xml:space="preserve">2002)    Consideration of windthrow effects likely renders tree tipping redundant or undesirable—for example, beyond the depletion effect on future wood recruitment of hastened tree mortality, the cumulative shade losses associated with thinning, tree tipping, and subsequent windthrow (MacDonald et al. 2003, Burton et al. 2016) are likely to often produce stream warming that is harmful to </w:t>
      </w:r>
      <w:proofErr w:type="spellStart"/>
      <w:r w:rsidRPr="00940052">
        <w:rPr>
          <w:color w:val="000000"/>
        </w:rPr>
        <w:t>coldwater</w:t>
      </w:r>
      <w:proofErr w:type="spellEnd"/>
      <w:r w:rsidRPr="00940052">
        <w:rPr>
          <w:color w:val="000000"/>
        </w:rPr>
        <w:t xml:space="preserve"> fishes, amphibians, and other biota.</w:t>
      </w:r>
    </w:p>
    <w:p w:rsidR="00A45E15" w:rsidRPr="00940052" w:rsidRDefault="00A45E15" w:rsidP="00A45E15">
      <w:pPr>
        <w:pStyle w:val="m-3792761644885117786m-1864121036372792218xydpfd80f7e7msonormal"/>
        <w:shd w:val="clear" w:color="auto" w:fill="FFFFFF"/>
        <w:spacing w:after="240" w:afterAutospacing="0"/>
        <w:ind w:left="720" w:right="1080"/>
        <w:rPr>
          <w:color w:val="000000"/>
        </w:rPr>
      </w:pPr>
      <w:r w:rsidRPr="00940052">
        <w:rPr>
          <w:color w:val="000000"/>
        </w:rPr>
        <w:t xml:space="preserve">Another major concern is feasibility of implementation.  According to the findings of Benda et al., tree tipping could only reach the ideal levels of sustainable debris recruitment sufficient to offset the wood-depleting effects of thinning if an unlogged buffer of 10-30 m is left along streams (to support future natural wood recruitment to the stream), and thinning and tree tipping are implemented along both sides of </w:t>
      </w:r>
      <w:proofErr w:type="spellStart"/>
      <w:r w:rsidRPr="00940052">
        <w:rPr>
          <w:color w:val="000000"/>
        </w:rPr>
        <w:t>thestream</w:t>
      </w:r>
      <w:proofErr w:type="spellEnd"/>
      <w:r w:rsidRPr="00940052">
        <w:rPr>
          <w:color w:val="000000"/>
        </w:rPr>
        <w:t xml:space="preserve">.  This means extensive mechanized equipment operations alongside both streambanks, in near-stream areas that often include highly erodible soils and erosion-prone slopes.   Skid trails and soil disturbance by logging equipment within about 60-220 m of steams can produce </w:t>
      </w:r>
      <w:proofErr w:type="spellStart"/>
      <w:r w:rsidRPr="00940052">
        <w:rPr>
          <w:color w:val="000000"/>
        </w:rPr>
        <w:t>rilling</w:t>
      </w:r>
      <w:proofErr w:type="spellEnd"/>
      <w:r w:rsidRPr="00940052">
        <w:rPr>
          <w:color w:val="000000"/>
        </w:rPr>
        <w:t xml:space="preserve"> or gully erosion that delivers sediment to channels (</w:t>
      </w:r>
      <w:proofErr w:type="spellStart"/>
      <w:r w:rsidRPr="00940052">
        <w:rPr>
          <w:color w:val="000000"/>
        </w:rPr>
        <w:t>Rashin</w:t>
      </w:r>
      <w:proofErr w:type="spellEnd"/>
      <w:r w:rsidRPr="00940052">
        <w:rPr>
          <w:color w:val="000000"/>
        </w:rPr>
        <w:t xml:space="preserve"> et al. 2006, </w:t>
      </w:r>
      <w:proofErr w:type="spellStart"/>
      <w:r w:rsidRPr="00940052">
        <w:rPr>
          <w:color w:val="000000"/>
        </w:rPr>
        <w:t>Litschert</w:t>
      </w:r>
      <w:proofErr w:type="spellEnd"/>
      <w:r w:rsidRPr="00940052">
        <w:rPr>
          <w:color w:val="000000"/>
        </w:rPr>
        <w:t xml:space="preserve"> and MacDonald 2009).   Because much logging within the Pacific Northwest occurs in rainfall-dominated rather than snow-dominated areas, there is limited opportunity to mitigate erosion by operating logging equipment over snow and frozen ground.  Therefore the primary mitigation measure for reducing sediment delivery to streams from logging disturbances is to exclude ground-based equipment operations within a zone from 60-200 m of surface waters. Such an exclusion greatly limits capability to access riparian forests for aggressive management measures like tree tipping. Finally, directional felling of trees from an outer riparian zone through an unlogged inner riparian stand of 10-30 m width is a difficult proposition.  Many felled trees are certain to “hang up” on standing trees under this condition, and are unlikely to reach the intended stream channel. As a result many more trees would have to be cut than acknowledged in the Benda et al. analysis to attain the in-channel tree tipping targets specified as necessary to mitigate thinning-related debris losses—causing further ancillary harms as outlined above.</w:t>
      </w:r>
    </w:p>
    <w:p w:rsidR="000C35A9" w:rsidRDefault="0054102F" w:rsidP="00A45E15">
      <w:pPr>
        <w:pStyle w:val="Heading2"/>
        <w:keepLines w:val="0"/>
        <w:numPr>
          <w:ilvl w:val="1"/>
          <w:numId w:val="0"/>
        </w:numPr>
        <w:tabs>
          <w:tab w:val="num" w:pos="0"/>
        </w:tabs>
        <w:suppressAutoHyphens/>
        <w:spacing w:before="0" w:line="240" w:lineRule="auto"/>
        <w:ind w:left="576" w:hanging="576"/>
      </w:pPr>
      <w:bookmarkStart w:id="16" w:name="_Toc3557585"/>
      <w:bookmarkStart w:id="17" w:name="_Toc176959866"/>
      <w:r>
        <w:t xml:space="preserve">The EA Needs to </w:t>
      </w:r>
      <w:r w:rsidR="00A45E15">
        <w:t>Weigh the trade-offs associated with logging in riparian reserves.</w:t>
      </w:r>
      <w:bookmarkEnd w:id="16"/>
      <w:bookmarkEnd w:id="17"/>
    </w:p>
    <w:p w:rsidR="000C35A9" w:rsidRDefault="000C35A9" w:rsidP="002F1A90"/>
    <w:p w:rsidR="00C067B3" w:rsidRDefault="00F205A4" w:rsidP="002F1A90">
      <w:r>
        <w:t>The EA says the purpose and need for riparian restoration is met with riparian planting, tree tipping, wood placement</w:t>
      </w:r>
      <w:r w:rsidR="00E5659E">
        <w:t xml:space="preserve">, and road </w:t>
      </w:r>
      <w:proofErr w:type="spellStart"/>
      <w:r w:rsidR="00E5659E">
        <w:t>decomm</w:t>
      </w:r>
      <w:proofErr w:type="spellEnd"/>
      <w:r w:rsidR="00E5659E">
        <w:t>/storage</w:t>
      </w:r>
      <w:r>
        <w:t xml:space="preserve">. It does not say that logging in riparian reserves helps meet riparian restoration goals, which is an admission that logging riparian reserves is </w:t>
      </w:r>
      <w:r w:rsidR="00E5659E">
        <w:t xml:space="preserve">probably </w:t>
      </w:r>
      <w:r>
        <w:t>not consistent with the Aquatic Conservation Strategy and the standards &amp; guidelines for the rip</w:t>
      </w:r>
      <w:r w:rsidR="00E5659E">
        <w:t>arian reserve</w:t>
      </w:r>
      <w:r>
        <w:t xml:space="preserve"> land allocation.</w:t>
      </w:r>
      <w:r w:rsidR="00E5659E">
        <w:t xml:space="preserve"> </w:t>
      </w:r>
      <w:r w:rsidR="0058151A">
        <w:t>Table A-1 also appears to distinguish between aquatic restoration activities and vegetation management activities, which implies that vegetation activities are not necessary for aquatic restoration. This indicates a likely violation of the exclusive aquatic purposes for activities within the entire extent of the riparian reserves.</w:t>
      </w:r>
    </w:p>
    <w:p w:rsidR="00C067B3" w:rsidRDefault="00C067B3" w:rsidP="002F1A90"/>
    <w:p w:rsidR="00F205A4" w:rsidRDefault="00C067B3" w:rsidP="002F1A90">
      <w:r>
        <w:lastRenderedPageBreak/>
        <w:t xml:space="preserve">The EA does not clearly describe the prescription for logging in riparian reserves and the EA aquatic analysis does not </w:t>
      </w:r>
      <w:r w:rsidR="00E5659E">
        <w:t>provide a</w:t>
      </w:r>
      <w:r>
        <w:t>n</w:t>
      </w:r>
      <w:r w:rsidR="00E5659E">
        <w:t xml:space="preserve"> analysis of the adverse effects of logging on ACS Objectives, and fails to provide evidence that logging within riparian reserves will meet the project purpose and need and desired future condition for the land allocation.</w:t>
      </w:r>
    </w:p>
    <w:p w:rsidR="00D5687C" w:rsidRDefault="00D5687C" w:rsidP="002F1A90"/>
    <w:p w:rsidR="0058151A" w:rsidRDefault="00D5687C" w:rsidP="002F1A90">
      <w:r>
        <w:t>Table A-1 shows that the project entails vegetation management activities in the “outer” riparian reserves, as close as 15 feet from streams</w:t>
      </w:r>
      <w:r w:rsidR="0058151A">
        <w:t>, and PDC #501 even contemplates tree removal within the “inner” riparian reserves.</w:t>
      </w:r>
      <w:r>
        <w:t xml:space="preserve"> These </w:t>
      </w:r>
      <w:r w:rsidR="0058151A">
        <w:t xml:space="preserve">riparian </w:t>
      </w:r>
      <w:r>
        <w:t>activities are not clearly described</w:t>
      </w:r>
      <w:r w:rsidR="0058151A">
        <w:t xml:space="preserve"> in the EA</w:t>
      </w:r>
      <w:r>
        <w:t xml:space="preserve">, but we have strong reason to believe this includes commercial thinning that will have adverse effects on stream shade, </w:t>
      </w:r>
      <w:r w:rsidR="0058151A">
        <w:t xml:space="preserve">riparian </w:t>
      </w:r>
      <w:r>
        <w:t xml:space="preserve">microclimate, and wood recruitment. </w:t>
      </w:r>
    </w:p>
    <w:p w:rsidR="0058151A" w:rsidRDefault="0058151A" w:rsidP="002F1A90"/>
    <w:p w:rsidR="00A27114" w:rsidRDefault="00A27114" w:rsidP="00A27114">
      <w:r>
        <w:t>The North Fork Smith EA fails to follow the recommendations of the FEMAT Report which explained that logging in reserves must be well-planned and clearly documented:</w:t>
      </w:r>
    </w:p>
    <w:p w:rsidR="00A27114" w:rsidRDefault="00A27114" w:rsidP="00A27114">
      <w:pPr>
        <w:ind w:left="720"/>
      </w:pPr>
      <w:r>
        <w:t>Prescriptions to be used for each stand should be well thought out and documented. They will be designed to produce stand structure and component associated with late-successional conditions. These components include large trees, snags, logs, and dense, multi-storied canopies. Prescriptions should show the treatments to be applied and the anticipated effects on the stand over time. They should also include a discussion of the actions, coordination efforts, and oversight that will be necessary for successful implementation. This discussion should draw on previous efforts made to implement similar prescriptions. Finally, the prescriptions should identify key stand attributes or accomplishments that should be monitored. For example, if snags are to be created, or regeneration established, the accomplishment of these actions and their results should be monitored.</w:t>
      </w:r>
    </w:p>
    <w:p w:rsidR="00A27114" w:rsidRDefault="00A27114" w:rsidP="00A27114">
      <w:r>
        <w:t>1993 FEMAT Report at page III-34; 1994 FSEIS Vol II, page B-73. This means that the agencies cannot rely on analysis-free assertions that logging will enhance or accelerate late successional conditions or riparian conditions in some general way. The NEPA analysis must be much more explicit in terms of objectives, rationale, and the logical connection between intentions, actions and outcomes.</w:t>
      </w:r>
    </w:p>
    <w:p w:rsidR="00A27114" w:rsidRDefault="00A27114" w:rsidP="002F1A90"/>
    <w:p w:rsidR="000C35A9" w:rsidRDefault="00A45E15" w:rsidP="00A45E15">
      <w:r>
        <w:t>The agency often claims that logging in riparian reserves is necessary to improve attributes other than large wood. However, these benefits are often minor and transitory, and do not outweigh the significant long-term adverse effect of logging on recruitment of dead wood. The agency must focus on the most significant contributions of vegetation toward ACS objectives and the most significant effects of logging on the ACS objectives.</w:t>
      </w:r>
    </w:p>
    <w:p w:rsidR="000C35A9" w:rsidRDefault="000C35A9" w:rsidP="00A45E15"/>
    <w:p w:rsidR="00A45E15" w:rsidRDefault="00A45E15" w:rsidP="00A45E15">
      <w:r>
        <w:t>If the agency intends to log in riparian reserves to increase some nebulous goal like “vegetation diversity and complexity,” then please explain why the biophysical indicators for the ACS objectives (set forth below) do not include any mention of vegetation diversity or complexity. See the Jazz Thinning Preliminary Analysis, 2011.</w:t>
      </w:r>
      <w:r w:rsidRPr="00365B6B">
        <w:t xml:space="preserve"> </w:t>
      </w:r>
      <w:hyperlink r:id="rId33" w:history="1">
        <w:r w:rsidRPr="006611AB">
          <w:rPr>
            <w:rStyle w:val="Hyperlink"/>
          </w:rPr>
          <w:t>http://bark-out.org/sites/default/files/bark-docs/Jazz_PA_0.pdf</w:t>
        </w:r>
      </w:hyperlink>
      <w:r>
        <w:t>.</w:t>
      </w:r>
    </w:p>
    <w:p w:rsidR="00A45E15" w:rsidRDefault="00A45E15" w:rsidP="00A45E15"/>
    <w:p w:rsidR="000C35A9" w:rsidRDefault="00A45E15" w:rsidP="00465AB0">
      <w:pPr>
        <w:ind w:left="720"/>
      </w:pPr>
      <w:r>
        <w:rPr>
          <w:noProof/>
          <w:lang w:val="en-US"/>
        </w:rPr>
        <w:lastRenderedPageBreak/>
        <w:drawing>
          <wp:inline distT="0" distB="0" distL="0" distR="0" wp14:anchorId="759EF4BD" wp14:editId="6E1FE926">
            <wp:extent cx="3193473" cy="2827444"/>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92508" cy="2826590"/>
                    </a:xfrm>
                    <a:prstGeom prst="rect">
                      <a:avLst/>
                    </a:prstGeom>
                    <a:solidFill>
                      <a:srgbClr val="FFFFFF"/>
                    </a:solidFill>
                    <a:ln>
                      <a:noFill/>
                    </a:ln>
                  </pic:spPr>
                </pic:pic>
              </a:graphicData>
            </a:graphic>
          </wp:inline>
        </w:drawing>
      </w:r>
    </w:p>
    <w:p w:rsidR="000C35A9" w:rsidRDefault="000C35A9" w:rsidP="00A45E15"/>
    <w:p w:rsidR="00A45E15" w:rsidRDefault="00A45E15" w:rsidP="00A45E15">
      <w:r>
        <w:t xml:space="preserve">The Northwest Forest Plan and its supporting documentation make clear that the primary value of riparian vegetation is as a source of large wood and shade, not vegetation diversity and canopy layering, as often asserted by the agency to justify logging in riparian reserves. BLM admits “The primary function of Riparian Reserves is to provide shade and a source of large wood inputs to stream channels.” Medford BLM 2013. Pilot Thompson EA, p 3-76. </w:t>
      </w:r>
      <w:hyperlink r:id="rId35" w:history="1">
        <w:r>
          <w:rPr>
            <w:rStyle w:val="Hyperlink"/>
          </w:rPr>
          <w:t>http://www.blm.gov/or/districts/medford/plans/files/PT_EA_ForWeb.pdf</w:t>
        </w:r>
      </w:hyperlink>
      <w:r>
        <w:t xml:space="preserve"> </w:t>
      </w:r>
    </w:p>
    <w:p w:rsidR="00A45E15" w:rsidRDefault="00A45E15" w:rsidP="00A45E15"/>
    <w:p w:rsidR="00A45E15" w:rsidRDefault="00A45E15" w:rsidP="00A45E15">
      <w:r>
        <w:t>Stan Gregory notes the following trade-offs associated with logging riparian reserves to enhance early seral vegetation:</w:t>
      </w:r>
    </w:p>
    <w:p w:rsidR="00A45E15" w:rsidRDefault="00A45E15" w:rsidP="00A45E15">
      <w:pPr>
        <w:ind w:left="720"/>
      </w:pPr>
      <w:r>
        <w:rPr>
          <w:noProof/>
          <w:lang w:val="en-US"/>
        </w:rPr>
        <w:drawing>
          <wp:inline distT="0" distB="0" distL="0" distR="0" wp14:anchorId="5940459F" wp14:editId="11BBD77B">
            <wp:extent cx="3186545" cy="206106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85894" cy="2060644"/>
                    </a:xfrm>
                    <a:prstGeom prst="rect">
                      <a:avLst/>
                    </a:prstGeom>
                    <a:noFill/>
                    <a:ln>
                      <a:noFill/>
                    </a:ln>
                  </pic:spPr>
                </pic:pic>
              </a:graphicData>
            </a:graphic>
          </wp:inline>
        </w:drawing>
      </w:r>
    </w:p>
    <w:p w:rsidR="000C35A9" w:rsidRDefault="00A45E15" w:rsidP="00A45E15">
      <w:r>
        <w:t xml:space="preserve">Gregory, Stan 2010. </w:t>
      </w:r>
      <w:r w:rsidRPr="00FE5DBC">
        <w:t>What About Riparian Systems: Who Benefits From an Early Seral Forest Condition</w:t>
      </w:r>
      <w:r>
        <w:t xml:space="preserve">. Workshop - Early Seral Forest - </w:t>
      </w:r>
      <w:r w:rsidRPr="00FE5DBC">
        <w:t>We know we need it -- How do we get it?</w:t>
      </w:r>
      <w:r>
        <w:t xml:space="preserve"> Presentation s</w:t>
      </w:r>
      <w:r w:rsidRPr="00FE5DBC">
        <w:t>ponsored by the Central Cascades Adaptive Management Partnership and NW Oregon Ecology Group</w:t>
      </w:r>
      <w:r>
        <w:t xml:space="preserve"> </w:t>
      </w:r>
      <w:hyperlink r:id="rId37" w:history="1">
        <w:r w:rsidRPr="00EB4BAB">
          <w:rPr>
            <w:rStyle w:val="Hyperlink"/>
          </w:rPr>
          <w:t>http://ecoshare.info/2010/07/06/what-about-riparian-systems-who-benefits-from-an-early-seral-forest-condition-gregory/</w:t>
        </w:r>
      </w:hyperlink>
      <w:r>
        <w:t xml:space="preserve"> </w:t>
      </w:r>
    </w:p>
    <w:p w:rsidR="000C35A9" w:rsidRDefault="000C35A9" w:rsidP="00A45E15"/>
    <w:p w:rsidR="00A45E15" w:rsidRDefault="00A45E15" w:rsidP="00A45E15">
      <w:r>
        <w:lastRenderedPageBreak/>
        <w:t>The Northwest Forest Plan Aquatic Conservation Strategy Objectives (1994 ROD p B-11) enumerates specific purposes for “</w:t>
      </w:r>
      <w:r w:rsidRPr="008C2599">
        <w:t>Maintain</w:t>
      </w:r>
      <w:r>
        <w:t>[</w:t>
      </w:r>
      <w:proofErr w:type="spellStart"/>
      <w:r>
        <w:t>ing</w:t>
      </w:r>
      <w:proofErr w:type="spellEnd"/>
      <w:r>
        <w:t xml:space="preserve">] and </w:t>
      </w:r>
      <w:proofErr w:type="spellStart"/>
      <w:r>
        <w:t>restor</w:t>
      </w:r>
      <w:proofErr w:type="spellEnd"/>
      <w:r>
        <w:t>[</w:t>
      </w:r>
      <w:proofErr w:type="spellStart"/>
      <w:r>
        <w:t>ing</w:t>
      </w:r>
      <w:proofErr w:type="spellEnd"/>
      <w:r>
        <w:t xml:space="preserve">] </w:t>
      </w:r>
      <w:r w:rsidRPr="008C2599">
        <w:t>the species composition and structural diversity of plant</w:t>
      </w:r>
      <w:r>
        <w:t xml:space="preserve"> </w:t>
      </w:r>
      <w:r w:rsidRPr="008C2599">
        <w:t>communities in riparian areas and wetlands</w:t>
      </w:r>
      <w:r>
        <w:t>” that is -</w:t>
      </w:r>
    </w:p>
    <w:p w:rsidR="00A45E15" w:rsidRDefault="00A45E15" w:rsidP="00A45E15">
      <w:pPr>
        <w:ind w:left="720"/>
      </w:pPr>
      <w:r>
        <w:t>“</w:t>
      </w:r>
      <w:r w:rsidRPr="008C2599">
        <w:t>to provide adequate summer and winter</w:t>
      </w:r>
      <w:r>
        <w:t xml:space="preserve"> </w:t>
      </w:r>
      <w:r w:rsidRPr="008C2599">
        <w:t>thermal regulation, nutrient filtering, appropriate rates of surface erosion, bank erosion,</w:t>
      </w:r>
      <w:r>
        <w:t xml:space="preserve"> </w:t>
      </w:r>
      <w:r w:rsidRPr="008C2599">
        <w:t>and channel migration and to supply amounts and distributions of coarse woody debris</w:t>
      </w:r>
      <w:r>
        <w:t xml:space="preserve"> </w:t>
      </w:r>
      <w:r w:rsidRPr="008C2599">
        <w:t>sufficient to sustain physical complexity and stability.</w:t>
      </w:r>
      <w:r>
        <w:t>”</w:t>
      </w:r>
    </w:p>
    <w:p w:rsidR="000C35A9" w:rsidRDefault="00A45E15" w:rsidP="00A45E15">
      <w:r>
        <w:t>All these values are provided as well or better by unthinned riparian stands.</w:t>
      </w:r>
    </w:p>
    <w:p w:rsidR="000C35A9" w:rsidRDefault="000C35A9" w:rsidP="00A45E15"/>
    <w:p w:rsidR="000C35A9" w:rsidRDefault="00A45E15" w:rsidP="00A45E15">
      <w:r>
        <w:t>The effects of logging on dead wood are significant and long term, adversely affecting a core function of the reserves, while the purported benefits to vegetation diversity are minor and transitory, and affect secondary purposes of the reserves.</w:t>
      </w:r>
    </w:p>
    <w:p w:rsidR="000C35A9" w:rsidRDefault="000C35A9" w:rsidP="00A45E15"/>
    <w:p w:rsidR="00A45E15" w:rsidRPr="003A0F7A" w:rsidRDefault="00A45E15" w:rsidP="00A45E15">
      <w:pPr>
        <w:ind w:left="720"/>
        <w:rPr>
          <w:b/>
        </w:rPr>
      </w:pPr>
      <w:r w:rsidRPr="003A0F7A">
        <w:rPr>
          <w:b/>
        </w:rPr>
        <w:t>Large Wood</w:t>
      </w:r>
    </w:p>
    <w:p w:rsidR="00A45E15" w:rsidRDefault="00A45E15" w:rsidP="00A45E15">
      <w:pPr>
        <w:ind w:left="720"/>
      </w:pPr>
      <w:r>
        <w:t xml:space="preserve">Large quantities of downed trees are a functionally important component of many streams (Swanson et al. 1976; </w:t>
      </w:r>
      <w:proofErr w:type="spellStart"/>
      <w:r>
        <w:t>Sedell</w:t>
      </w:r>
      <w:proofErr w:type="spellEnd"/>
      <w:r>
        <w:t xml:space="preserve"> and </w:t>
      </w:r>
      <w:proofErr w:type="spellStart"/>
      <w:r>
        <w:t>Luchessa</w:t>
      </w:r>
      <w:proofErr w:type="spellEnd"/>
      <w:r>
        <w:t xml:space="preserve">, 1982; </w:t>
      </w:r>
      <w:proofErr w:type="spellStart"/>
      <w:r>
        <w:t>Sedell</w:t>
      </w:r>
      <w:proofErr w:type="spellEnd"/>
      <w:r>
        <w:t xml:space="preserve"> and </w:t>
      </w:r>
      <w:proofErr w:type="spellStart"/>
      <w:r>
        <w:t>Froggat</w:t>
      </w:r>
      <w:proofErr w:type="spellEnd"/>
      <w:r>
        <w:t xml:space="preserve">, 1984; Harmon et al. 1986; </w:t>
      </w:r>
      <w:proofErr w:type="spellStart"/>
      <w:r>
        <w:t>Bisson</w:t>
      </w:r>
      <w:proofErr w:type="spellEnd"/>
      <w:r>
        <w:t xml:space="preserve"> et al. 1987; Maser et al. 1988; </w:t>
      </w:r>
      <w:proofErr w:type="spellStart"/>
      <w:r>
        <w:t>Naiman</w:t>
      </w:r>
      <w:proofErr w:type="spellEnd"/>
      <w:r>
        <w:t xml:space="preserve"> et al. 1992). Large woody debris influences channel morphology by affecting longitudinal profile, pool formation, channel pattern and position, and channel geometry (</w:t>
      </w:r>
      <w:proofErr w:type="spellStart"/>
      <w:r>
        <w:t>Bisson</w:t>
      </w:r>
      <w:proofErr w:type="spellEnd"/>
      <w:r>
        <w:t xml:space="preserve"> et al. 1987). Downstream transport rates of sediment and organic matter are controlled in part by storage of this material behind large wood (</w:t>
      </w:r>
      <w:proofErr w:type="spellStart"/>
      <w:r>
        <w:t>Betscha</w:t>
      </w:r>
      <w:proofErr w:type="spellEnd"/>
      <w:r>
        <w:t xml:space="preserve"> 1979). Large wood affects the formation and distribution of habitat units, provides cover and complexity, and acts as a substrate for biological activity (Swanson et al. 1982; </w:t>
      </w:r>
      <w:proofErr w:type="spellStart"/>
      <w:r>
        <w:t>Bisson</w:t>
      </w:r>
      <w:proofErr w:type="spellEnd"/>
      <w:r>
        <w:t xml:space="preserve"> et al. 1987). Wood enters streams inhabited by fish either directly from the adjacent riparian zone from tributaries that may not be inhabited by fish, or hillslopes (</w:t>
      </w:r>
      <w:proofErr w:type="spellStart"/>
      <w:r>
        <w:t>Naiman</w:t>
      </w:r>
      <w:proofErr w:type="spellEnd"/>
      <w:r>
        <w:t xml:space="preserve"> et al. 1992). </w:t>
      </w:r>
    </w:p>
    <w:p w:rsidR="00A45E15" w:rsidRDefault="00A45E15" w:rsidP="00A45E15">
      <w:pPr>
        <w:ind w:left="720"/>
      </w:pPr>
      <w:r>
        <w:t>Large wood in streams has been reduced due to a variety of past and present timber harvesting practices and associated activities. Many riparian management areas on federal lands are inadequate as long term sources of wood.</w:t>
      </w:r>
    </w:p>
    <w:p w:rsidR="00A45E15" w:rsidRDefault="00A45E15" w:rsidP="00A45E15">
      <w:pPr>
        <w:ind w:left="720"/>
      </w:pPr>
      <w:r>
        <w:t>…</w:t>
      </w:r>
    </w:p>
    <w:p w:rsidR="00A45E15" w:rsidRPr="003A0F7A" w:rsidRDefault="00A45E15" w:rsidP="00A45E15">
      <w:pPr>
        <w:ind w:left="720"/>
        <w:rPr>
          <w:b/>
        </w:rPr>
      </w:pPr>
      <w:r w:rsidRPr="003A0F7A">
        <w:rPr>
          <w:b/>
        </w:rPr>
        <w:t>Riparian Ecosystem Components</w:t>
      </w:r>
    </w:p>
    <w:p w:rsidR="00A45E15" w:rsidRDefault="00A45E15" w:rsidP="00A45E15">
      <w:pPr>
        <w:ind w:left="720"/>
      </w:pPr>
      <w:r>
        <w:t>…</w:t>
      </w:r>
    </w:p>
    <w:p w:rsidR="00A45E15" w:rsidRDefault="00A45E15" w:rsidP="00A45E15">
      <w:pPr>
        <w:ind w:left="720"/>
      </w:pPr>
      <w:r>
        <w:t>Riparian vegetation regulates the exchange of nutrients and material from upland forests to streams (Swanson et al. 1982; Gregory et al. 1991). Fully functional riparian ecosystems have a suite of characteristics which are summarized below. Large conifers or a mixture of large conifers and hardwoods are found in riparian zones along all streams in the watershed, including those not inhabited by fish (</w:t>
      </w:r>
      <w:proofErr w:type="spellStart"/>
      <w:r>
        <w:t>Naiman</w:t>
      </w:r>
      <w:proofErr w:type="spellEnd"/>
      <w:r>
        <w:t xml:space="preserve"> et al. 1992). Riparian zone-stream interactions are a major determinant of large woody debris loading (House and </w:t>
      </w:r>
      <w:proofErr w:type="spellStart"/>
      <w:r>
        <w:t>Boehne</w:t>
      </w:r>
      <w:proofErr w:type="spellEnd"/>
      <w:r>
        <w:t xml:space="preserve"> 1987; </w:t>
      </w:r>
      <w:proofErr w:type="spellStart"/>
      <w:r>
        <w:t>Bisson</w:t>
      </w:r>
      <w:proofErr w:type="spellEnd"/>
      <w:r>
        <w:t xml:space="preserve"> et al. 1987; Sullivan et al. 1987). Stream temperatures and light levels that influence ecological processes are moderated by riparian vegetation (Agee 1988; Gregory et al. 1991). Streambanks are vegetated with shrubs and other low-growing woody vegetation. Root systems in streambanks of the active channel stabilize banks, allow development and maintenance of undercut banks, and protect banks during large storm flows (</w:t>
      </w:r>
      <w:proofErr w:type="spellStart"/>
      <w:r>
        <w:t>Sedell</w:t>
      </w:r>
      <w:proofErr w:type="spellEnd"/>
      <w:r>
        <w:t xml:space="preserve"> and </w:t>
      </w:r>
      <w:proofErr w:type="spellStart"/>
      <w:r>
        <w:t>Beschta</w:t>
      </w:r>
      <w:proofErr w:type="spellEnd"/>
      <w:r>
        <w:t xml:space="preserve"> 1991). Riparian vegetation contributes leaves, twigs, and other forms of fine litter that are an important component of the aquatic ecosystem food base (</w:t>
      </w:r>
      <w:proofErr w:type="spellStart"/>
      <w:r>
        <w:t>Vannote</w:t>
      </w:r>
      <w:proofErr w:type="spellEnd"/>
      <w:r>
        <w:t xml:space="preserve"> et al. 1980).</w:t>
      </w:r>
    </w:p>
    <w:p w:rsidR="000C35A9" w:rsidRDefault="00A45E15" w:rsidP="00A45E15">
      <w:r>
        <w:lastRenderedPageBreak/>
        <w:t xml:space="preserve">1993 FEMAT Report, pp V-13, V-25. </w:t>
      </w:r>
    </w:p>
    <w:p w:rsidR="000C35A9" w:rsidRDefault="000C35A9" w:rsidP="00A45E15"/>
    <w:p w:rsidR="00A45E15" w:rsidRDefault="00A45E15" w:rsidP="00A45E15">
      <w:r>
        <w:t>The effects of thinning on crown development are not very significant.</w:t>
      </w:r>
    </w:p>
    <w:p w:rsidR="00A45E15" w:rsidRDefault="00A45E15" w:rsidP="00A45E15"/>
    <w:p w:rsidR="00A45E15" w:rsidRDefault="00A45E15" w:rsidP="00A45E15">
      <w:pPr>
        <w:ind w:left="720"/>
      </w:pPr>
      <w:r>
        <w:rPr>
          <w:noProof/>
          <w:lang w:val="en-US"/>
        </w:rPr>
        <w:drawing>
          <wp:inline distT="0" distB="0" distL="0" distR="0" wp14:anchorId="6260D958" wp14:editId="387EDEE2">
            <wp:extent cx="4508500" cy="3670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08500" cy="3670300"/>
                    </a:xfrm>
                    <a:prstGeom prst="rect">
                      <a:avLst/>
                    </a:prstGeom>
                    <a:solidFill>
                      <a:srgbClr val="FFFFFF"/>
                    </a:solidFill>
                    <a:ln>
                      <a:noFill/>
                    </a:ln>
                  </pic:spPr>
                </pic:pic>
              </a:graphicData>
            </a:graphic>
          </wp:inline>
        </w:drawing>
      </w:r>
    </w:p>
    <w:p w:rsidR="000C35A9" w:rsidRDefault="00A45E15" w:rsidP="00A45E15">
      <w:r>
        <w:t xml:space="preserve">Aquatic/Riparian Ecosystem Dynamics and Associated Management Implications - Recent Findings. </w:t>
      </w:r>
      <w:proofErr w:type="spellStart"/>
      <w:r>
        <w:t>Powerpoint</w:t>
      </w:r>
      <w:proofErr w:type="spellEnd"/>
      <w:r>
        <w:t xml:space="preserve">, 32.6M. This topic was presented at the Regional Interagency Executive Committee meeting on January 7, 2003. </w:t>
      </w:r>
      <w:hyperlink r:id="rId39" w:history="1">
        <w:r w:rsidRPr="003E18F7">
          <w:rPr>
            <w:rStyle w:val="Hyperlink"/>
          </w:rPr>
          <w:t>https://web.archive.org/web/20161221100307/http://www.reo.gov/library/presentations/Szaro_present_Aquatic_Rip_Final.ppt</w:t>
        </w:r>
      </w:hyperlink>
      <w:r>
        <w:t xml:space="preserve">. </w:t>
      </w:r>
    </w:p>
    <w:p w:rsidR="000C35A9" w:rsidRDefault="000C35A9" w:rsidP="00A45E15"/>
    <w:p w:rsidR="00A45E15" w:rsidRDefault="00A45E15" w:rsidP="00A45E15">
      <w:r>
        <w:t xml:space="preserve">Stimulating the development of a diverse understory is often used as a justification for thinning, but this may not be justified in stands older than about 40 years. A systematic review of 917 Forest Inventory and Analysis (FIA) plots in western Oregon (mostly on non-federal lands) found, </w:t>
      </w:r>
    </w:p>
    <w:p w:rsidR="00A45E15" w:rsidRDefault="00A45E15" w:rsidP="00A45E15">
      <w:pPr>
        <w:ind w:left="720"/>
      </w:pPr>
      <w:r>
        <w:t>Contrary to expectations of canopy closure, mean canopy cover by age class rarely exceeded 85 percent, even in unthinned productive young conifer forests. Possibly as a result, effects of stand age on understory vegetation were minimal, except for low levels of forbs found in 20- to 40-year-old wet conifer stands. … Although heavily thinned stands had lower total cover, canopy structure did not differ dramatically between thinned and unthinned stands. Our findings suggest potential limitations of simple stand succession models that may not account for the range of forest types, site conditions, and developmental mechanisms found across western Oregon.</w:t>
      </w:r>
    </w:p>
    <w:p w:rsidR="00A45E15" w:rsidRDefault="00A45E15" w:rsidP="00A45E15">
      <w:r>
        <w:t>McIntosh, Anne C.S.; Gray, Andrew N.; Garman, Steven L. 2009. Canopy structure on forest lands in western Oregon: differences among forest types and stand ages. Gen. Tech. Rep. PNW-</w:t>
      </w:r>
      <w:r>
        <w:lastRenderedPageBreak/>
        <w:t xml:space="preserve">GTR-794. Portland, OR: U.S. Department of Agriculture, Forest Service, Pacific Northwest Research Station. 35 p. </w:t>
      </w:r>
      <w:hyperlink r:id="rId40" w:history="1">
        <w:r>
          <w:rPr>
            <w:rStyle w:val="Hyperlink"/>
          </w:rPr>
          <w:t>http://www.fs.fed.us/pnw/pubs/pnw_gtr794.pdf</w:t>
        </w:r>
      </w:hyperlink>
      <w:r>
        <w:t>. This seems to indicate that the benefits of thinning may be best realized in dense stands younger than 40 years old. This study also showed that in wet conifer stands the mean Canopy Height Diversity Index and the mean Simpson’s Diversity Index of tree heights leveled off at about age 65. This study also looked at canopy conditions after three levels of thinning intensities (heavy, light, and none). “Mean cover of the lower canopy layer was nominal for all three thinning intensities. … There were no evident trends between understory cover and thinning history; both shrub and forb cover were fairly similar among the three thinning intensities. … The lack of a strong effect of crown closure on understory cover may be related to our finding that mean crown cover did not exceed 85 percent. … We expected greater cover of understory vegetation in thinned than in unthinned stands but did not detect significant differences in this analysis.”</w:t>
      </w:r>
    </w:p>
    <w:p w:rsidR="00A27114" w:rsidRDefault="00A27114" w:rsidP="00A45E15"/>
    <w:p w:rsidR="00A27114" w:rsidRDefault="00A27114" w:rsidP="00A27114">
      <w:r>
        <w:t xml:space="preserve">Dead wood is important to meeting many aquatic and terrestrial wildlife habitat values. Dead wood is also important for ecological services such as the capture, storage and release of water, sediment, and nutrients including, carbon. Most riparian reserves are short of dead wood due to past and ongoing logging, roads, fire suppression, etc. Natural processes of stand growth and mortality will correct this shortage, whereas logging will capture and export mortality and reduce and delay recruitment of wood to both streams and uplands within riparian reserves. This is not a minor short-term effect, but rather a significant long-term effect. Such effects are inconsistent with the Aquatic Conservation Strategy which prohibits logging in riparian reserves unless it is needed to meet objectives, and requires that management actions “maintain” and "not retard" ACS objectives, including dead wood. Any proposal to log riparian reserves must address these factors, develop clear goals, provide clear linkages between proposed actions and desired outcomes. Any alleged benefits of logging must be weighed against likely adverse effects on dead wood recruitment. </w:t>
      </w:r>
    </w:p>
    <w:p w:rsidR="00A27114" w:rsidRDefault="00A27114" w:rsidP="00A27114">
      <w:pPr>
        <w:ind w:left="720"/>
      </w:pPr>
    </w:p>
    <w:p w:rsidR="00A27114" w:rsidRDefault="00A27114" w:rsidP="00A27114">
      <w:pPr>
        <w:ind w:left="720"/>
      </w:pPr>
      <w:r>
        <w:t>Riparian areas are widely considered to be important wildlife habitat. Cool air temperatures due to the presence of cool and turbulent surface waters, typically dense vegetative canopy cover, and their location in the lowest portions of watersheds combine to maintain a distinct microclimate along stream channels and in the adjacent riparian area. Maintaining the integrity of the vegetation in these areas is particularly important for riparian-dependent species of amphibians, arthropods, mammals, birds, and bats.</w:t>
      </w:r>
    </w:p>
    <w:p w:rsidR="00A27114" w:rsidRDefault="00A27114" w:rsidP="00A27114">
      <w:pPr>
        <w:ind w:left="720"/>
      </w:pPr>
      <w:r>
        <w:t>…</w:t>
      </w:r>
    </w:p>
    <w:p w:rsidR="00A27114" w:rsidRDefault="00A27114" w:rsidP="00A27114">
      <w:pPr>
        <w:ind w:left="720"/>
      </w:pPr>
      <w:r>
        <w:t>Large quantities of down logs are an important component of many streams. Coarse woody debris influences the form and structure of a channel by affecting the profile of a stream, pool formation, and channel pattern and position. The rate at which sediment and organic matter are transported downstream is controlled in part by storage of this material behind coarse woody debris. Coarse woody debris also affects the formation and distribution of habitat, provides cover and complexity, and acts as a substrate for biological activity. Coarse woody debris in streams comes directly from the adjacent riparian area, from tributaries that may not be inhabited by fish, and from hillslopes.</w:t>
      </w:r>
    </w:p>
    <w:p w:rsidR="00A27114" w:rsidRDefault="00A27114" w:rsidP="00A27114">
      <w:r>
        <w:t>1994 Northwest Forest Plan FSEIS page 3&amp;4-61.</w:t>
      </w:r>
    </w:p>
    <w:p w:rsidR="00A27114" w:rsidRDefault="00A27114" w:rsidP="00A27114">
      <w:pPr>
        <w:pStyle w:val="NormalWeb"/>
        <w:spacing w:before="0" w:after="0"/>
        <w:rPr>
          <w:szCs w:val="20"/>
        </w:rPr>
      </w:pPr>
    </w:p>
    <w:p w:rsidR="00A27114" w:rsidRDefault="00A27114" w:rsidP="00A27114"/>
    <w:p w:rsidR="00A27114" w:rsidRDefault="00A27114" w:rsidP="00A27114">
      <w:r>
        <w:lastRenderedPageBreak/>
        <w:t xml:space="preserve">Under the NWFP: “The risk has been shifted under the Aquatic Conservation Strategy because each project must meet the maintenance and restoration criteria by maintaining or restoring the physical and biological processes required by riparian-dependent resources within a watershed.” 1994 FSEIS p 3&amp;4 – 69. Clearly, this requires the agency to show there is a need for intervention. The 1993 SAT Report (which underpins the ACS) said “Within these protection areas, timber management and other ground disturbing activities are prohibited unless a site-specific watershed analysis indicates such activities will accelerate meeting desired ecological conditions.” And “Within the Riparian Habitat Conservation Areas, timber management and other land management activities are essentially prohibited unless the watershed analysis indicates such activity is necessary to accelerate meeting desired ecological conditions.” 1993 SAT Report. </w:t>
      </w:r>
      <w:proofErr w:type="spellStart"/>
      <w:r>
        <w:t>Ch</w:t>
      </w:r>
      <w:proofErr w:type="spellEnd"/>
      <w:r>
        <w:t xml:space="preserve"> 5, p 296. “[F]or areas where riparian conditions are presently degraded, management activities must be designed to improve habitat conditions.” 1993 SAT Report. </w:t>
      </w:r>
      <w:proofErr w:type="spellStart"/>
      <w:r>
        <w:t>Ch</w:t>
      </w:r>
      <w:proofErr w:type="spellEnd"/>
      <w:r>
        <w:t xml:space="preserve"> 5, p 464.</w:t>
      </w:r>
    </w:p>
    <w:p w:rsidR="00A27114" w:rsidRDefault="00A27114" w:rsidP="00A27114">
      <w:pPr>
        <w:pStyle w:val="BodyTextIndent"/>
      </w:pPr>
    </w:p>
    <w:p w:rsidR="00A27114" w:rsidRDefault="00A27114" w:rsidP="00A27114">
      <w:pPr>
        <w:pStyle w:val="BodyTextIndent"/>
      </w:pPr>
      <w:r>
        <w:t>Large wood in streams—preferably whole trees with root wads and all—provides the randomness and dynamic environment that fish absolutely need to survive in the ever-changing waters they occupy. Wood breaks up the current and spreads water sideways across its natural floodplain, creating wonderful, dynamic and necessary diversity while also absorbing energy that could cause serious damage downstream otherwise, such as flooding or unnatural erosion. It sorts gravels during high flows, creating those beautiful spawning gravel beds laid out like blankets among bigger rock. It makes those current breaks downstream of log jams. It provides cooling shade and cover, and slow pools and edge habitat that baby fish need after emerging from those gorgeous gravels to ride out high flows, find food and hide from prying eyes. Decomposing wood and the nutrients it produces jumpstarts that the natural processes critical to insect, animal, amphibian and plant life.</w:t>
      </w:r>
    </w:p>
    <w:p w:rsidR="00A27114" w:rsidRDefault="00A27114" w:rsidP="00A27114">
      <w:r>
        <w:t xml:space="preserve">Alan Moore, Why Fish Love ‘Large Woody Debris.’ Trout Unlimited. 2-4-2013. </w:t>
      </w:r>
      <w:hyperlink r:id="rId41" w:history="1">
        <w:r>
          <w:rPr>
            <w:rStyle w:val="Hyperlink"/>
          </w:rPr>
          <w:t>http://troutunlimitedblog.com/large-woody-debris-makes-for-fishy-rivers/</w:t>
        </w:r>
      </w:hyperlink>
      <w:r>
        <w:t xml:space="preserve"> Joshua J. </w:t>
      </w:r>
      <w:proofErr w:type="spellStart"/>
      <w:r>
        <w:t>Roering</w:t>
      </w:r>
      <w:proofErr w:type="spellEnd"/>
      <w:r>
        <w:t xml:space="preserve">, professor of geological sciences at the University of Oregon studies the processes that create fish habitat and concluded: “[Coho salmon] seem to respond to the heterogeneity that is so inherent in most real landscapes. Nature is messy, and the fish have adapted to that." University of Oregon (2013, February 11). Large, ancient landslides delivered preferred upstream habitats for </w:t>
      </w:r>
      <w:proofErr w:type="spellStart"/>
      <w:r>
        <w:t>coho</w:t>
      </w:r>
      <w:proofErr w:type="spellEnd"/>
      <w:r>
        <w:t xml:space="preserve"> salmon. </w:t>
      </w:r>
      <w:proofErr w:type="spellStart"/>
      <w:r>
        <w:t>ScienceDaily</w:t>
      </w:r>
      <w:proofErr w:type="spellEnd"/>
      <w:r>
        <w:t xml:space="preserve">. Retrieved from </w:t>
      </w:r>
      <w:hyperlink r:id="rId42" w:history="1">
        <w:r>
          <w:rPr>
            <w:rStyle w:val="Hyperlink"/>
          </w:rPr>
          <w:t>http://www.sciencedaily.com/releases/2013/02/130211135045.htm</w:t>
        </w:r>
      </w:hyperlink>
      <w:r>
        <w:t xml:space="preserve"> </w:t>
      </w:r>
    </w:p>
    <w:p w:rsidR="00A45E15" w:rsidRDefault="00A45E15"/>
    <w:p w:rsidR="00A27114" w:rsidRDefault="00A27114" w:rsidP="00A27114">
      <w:pPr>
        <w:ind w:left="720"/>
      </w:pPr>
      <w:r>
        <w:t xml:space="preserve">   In an undisturbed forest ecosystem, wood is naturally “recruited” to streams in various ways. Riparian trees growing along the channel fall into the channel when they are undercut by the stream, toppled by beavers, burned by fire or blown down during storms. Upslope trees can be transported into the channel by events such as avalanches or landslides . Flooding can wash trees into the channel and during </w:t>
      </w:r>
      <w:proofErr w:type="spellStart"/>
      <w:r>
        <w:t>highwater</w:t>
      </w:r>
      <w:proofErr w:type="spellEnd"/>
      <w:r>
        <w:t xml:space="preserve"> they may be pushed downstream.</w:t>
      </w:r>
    </w:p>
    <w:p w:rsidR="00A27114" w:rsidRDefault="00A27114" w:rsidP="00A27114">
      <w:pPr>
        <w:ind w:left="720"/>
      </w:pPr>
      <w:r>
        <w:t xml:space="preserve">   In-stream woody debris has been drastically reduced in some streams by historical forest management practices. Logging near rivers and streams limited the number of trees that could fall into streams. Road building that channeled streams through culverts prevented downstream wood recruitment. “Stream cleaning” was sometimes conducted </w:t>
      </w:r>
      <w:r>
        <w:lastRenderedPageBreak/>
        <w:t>to remove fallen trees from streams, for beautification, to prevent damage to infrastructure downstream, or in a misguided attempt to assist fish migration.</w:t>
      </w:r>
    </w:p>
    <w:p w:rsidR="00A27114" w:rsidRDefault="00A27114" w:rsidP="00A27114">
      <w:pPr>
        <w:ind w:left="720"/>
      </w:pPr>
      <w:r>
        <w:t xml:space="preserve">   Scientists have now come to understand that in-stream LWM [large woody material] is ecologically important for a number of reasons:</w:t>
      </w:r>
    </w:p>
    <w:p w:rsidR="00A27114" w:rsidRDefault="00A27114" w:rsidP="00A27114">
      <w:pPr>
        <w:numPr>
          <w:ilvl w:val="0"/>
          <w:numId w:val="11"/>
        </w:numPr>
        <w:suppressAutoHyphens/>
        <w:spacing w:line="240" w:lineRule="auto"/>
      </w:pPr>
      <w:r>
        <w:t>LWM can help spawning gravels accumulate , by stopping the gravel from moving downstream;</w:t>
      </w:r>
    </w:p>
    <w:p w:rsidR="00A27114" w:rsidRDefault="00A27114" w:rsidP="00A27114">
      <w:pPr>
        <w:numPr>
          <w:ilvl w:val="0"/>
          <w:numId w:val="11"/>
        </w:numPr>
        <w:suppressAutoHyphens/>
        <w:spacing w:line="240" w:lineRule="auto"/>
      </w:pPr>
      <w:r>
        <w:t>Pools can form behind LWM, which provide important juvenile rearing habitat, as well as habitat for all fish during periods of low-flows;</w:t>
      </w:r>
    </w:p>
    <w:p w:rsidR="00A27114" w:rsidRDefault="00A27114" w:rsidP="00A27114">
      <w:pPr>
        <w:numPr>
          <w:ilvl w:val="0"/>
          <w:numId w:val="11"/>
        </w:numPr>
        <w:suppressAutoHyphens/>
        <w:spacing w:line="240" w:lineRule="auto"/>
      </w:pPr>
      <w:r>
        <w:t>LWM can help slow stream speed , which helps adult fish as they move upstream and shelters rearing juveniles from using too much energy fighting currents;</w:t>
      </w:r>
    </w:p>
    <w:p w:rsidR="00A27114" w:rsidRDefault="00A27114" w:rsidP="00A27114">
      <w:pPr>
        <w:numPr>
          <w:ilvl w:val="0"/>
          <w:numId w:val="11"/>
        </w:numPr>
        <w:suppressAutoHyphens/>
        <w:spacing w:line="240" w:lineRule="auto"/>
      </w:pPr>
      <w:r>
        <w:t>LWM provide shade , offering pockets of cooler water, and can help to lower the temperature of an entire stream;</w:t>
      </w:r>
    </w:p>
    <w:p w:rsidR="00A27114" w:rsidRDefault="00A27114" w:rsidP="00A27114">
      <w:pPr>
        <w:numPr>
          <w:ilvl w:val="0"/>
          <w:numId w:val="11"/>
        </w:numPr>
        <w:suppressAutoHyphens/>
        <w:spacing w:line="240" w:lineRule="auto"/>
      </w:pPr>
      <w:r>
        <w:t>LWM provides fish with refuge from predators ;</w:t>
      </w:r>
    </w:p>
    <w:p w:rsidR="00A27114" w:rsidRDefault="00A27114" w:rsidP="00A27114">
      <w:pPr>
        <w:numPr>
          <w:ilvl w:val="0"/>
          <w:numId w:val="11"/>
        </w:numPr>
        <w:suppressAutoHyphens/>
        <w:spacing w:line="240" w:lineRule="auto"/>
      </w:pPr>
      <w:r>
        <w:t>LWM can help to stabilize banks, prevent erosion and decrease sediment movement that can harm downstream fish habitat;</w:t>
      </w:r>
    </w:p>
    <w:p w:rsidR="00A27114" w:rsidRDefault="00A27114" w:rsidP="00A27114">
      <w:pPr>
        <w:numPr>
          <w:ilvl w:val="0"/>
          <w:numId w:val="11"/>
        </w:numPr>
        <w:suppressAutoHyphens/>
        <w:spacing w:line="240" w:lineRule="auto"/>
      </w:pPr>
      <w:r>
        <w:t>LWM is important to the aquatic food chain, because it traps organic matter and provides habitat for insects and invertebrates, which are both food for fish.</w:t>
      </w:r>
    </w:p>
    <w:p w:rsidR="00A27114" w:rsidRDefault="00A27114" w:rsidP="00A27114">
      <w:pPr>
        <w:ind w:left="720"/>
      </w:pPr>
      <w:r>
        <w:t xml:space="preserve">   All of these elements add “complexity” to a stream. When it comes to fish habitat, complexity is a good thing. And one of the best ways to make a stream complex is to simply add wood.</w:t>
      </w:r>
    </w:p>
    <w:p w:rsidR="00A27114" w:rsidRDefault="00A27114" w:rsidP="00A27114">
      <w:r w:rsidRPr="00EE145E">
        <w:t xml:space="preserve">Hannah </w:t>
      </w:r>
      <w:proofErr w:type="spellStart"/>
      <w:r w:rsidRPr="00EE145E">
        <w:t>Ettema</w:t>
      </w:r>
      <w:proofErr w:type="spellEnd"/>
      <w:r>
        <w:t xml:space="preserve"> 2014. </w:t>
      </w:r>
      <w:r w:rsidRPr="00EE145E">
        <w:t>Seven Reasons Why Fish Need Wood</w:t>
      </w:r>
      <w:r>
        <w:t xml:space="preserve">. </w:t>
      </w:r>
      <w:hyperlink r:id="rId43" w:history="1">
        <w:r w:rsidRPr="00B61846">
          <w:rPr>
            <w:rStyle w:val="Hyperlink"/>
          </w:rPr>
          <w:t>https://www.nationalforests.org/blog/seven-reasons-why-fish-need-wood</w:t>
        </w:r>
      </w:hyperlink>
      <w:r>
        <w:t xml:space="preserve"> </w:t>
      </w:r>
    </w:p>
    <w:p w:rsidR="00A27114" w:rsidRDefault="00A27114" w:rsidP="00A27114"/>
    <w:p w:rsidR="00A27114" w:rsidRPr="00D76796" w:rsidRDefault="00A27114" w:rsidP="00A27114">
      <w:r w:rsidRPr="00D76796">
        <w:t xml:space="preserve">Abundant dead wood is not just important for fish and other aquatic species, but we are learning that it is also useful for a wide variety of terrestrial wildlife. OSU researchers say </w:t>
      </w:r>
    </w:p>
    <w:p w:rsidR="00A27114" w:rsidRPr="00D76796" w:rsidRDefault="00A27114" w:rsidP="00A27114">
      <w:pPr>
        <w:pStyle w:val="NormalWeb"/>
        <w:spacing w:before="0" w:after="225"/>
        <w:ind w:left="720"/>
        <w:textAlignment w:val="baseline"/>
        <w:rPr>
          <w:rFonts w:ascii="Georgia" w:hAnsi="Georgia" w:cs="Times New Roman"/>
          <w:color w:val="000000"/>
        </w:rPr>
      </w:pPr>
      <w:r w:rsidRPr="00D76796">
        <w:rPr>
          <w:rFonts w:ascii="Georgia" w:hAnsi="Georgia" w:cs="Times New Roman"/>
          <w:color w:val="000000"/>
        </w:rPr>
        <w:t>… little is known about how large wood in streams impacts birds and land-based animals.</w:t>
      </w:r>
    </w:p>
    <w:p w:rsidR="00A27114" w:rsidRPr="00D76796" w:rsidRDefault="00A27114" w:rsidP="00A27114">
      <w:pPr>
        <w:pStyle w:val="NormalWeb"/>
        <w:spacing w:before="0" w:after="0"/>
        <w:ind w:left="720"/>
        <w:textAlignment w:val="baseline"/>
        <w:rPr>
          <w:rFonts w:ascii="Georgia" w:hAnsi="Georgia" w:cs="Times New Roman"/>
          <w:color w:val="000000"/>
        </w:rPr>
      </w:pPr>
      <w:r w:rsidRPr="00D76796">
        <w:rPr>
          <w:rFonts w:ascii="Georgia" w:hAnsi="Georgia" w:cs="Times New Roman"/>
          <w:color w:val="000000"/>
        </w:rPr>
        <w:t xml:space="preserve">Oregon State University scientists </w:t>
      </w:r>
      <w:proofErr w:type="spellStart"/>
      <w:r w:rsidRPr="00D76796">
        <w:rPr>
          <w:rFonts w:ascii="Georgia" w:hAnsi="Georgia" w:cs="Times New Roman"/>
          <w:color w:val="000000"/>
        </w:rPr>
        <w:t>Ezmie</w:t>
      </w:r>
      <w:proofErr w:type="spellEnd"/>
      <w:r w:rsidRPr="00D76796">
        <w:rPr>
          <w:rFonts w:ascii="Georgia" w:hAnsi="Georgia" w:cs="Times New Roman"/>
          <w:color w:val="000000"/>
        </w:rPr>
        <w:t xml:space="preserve"> </w:t>
      </w:r>
      <w:proofErr w:type="spellStart"/>
      <w:r w:rsidRPr="00D76796">
        <w:rPr>
          <w:rFonts w:ascii="Georgia" w:hAnsi="Georgia" w:cs="Times New Roman"/>
          <w:color w:val="000000"/>
        </w:rPr>
        <w:t>Trevarrow</w:t>
      </w:r>
      <w:proofErr w:type="spellEnd"/>
      <w:r w:rsidRPr="00D76796">
        <w:rPr>
          <w:rFonts w:ascii="Georgia" w:hAnsi="Georgia" w:cs="Times New Roman"/>
          <w:color w:val="000000"/>
        </w:rPr>
        <w:t xml:space="preserve"> and </w:t>
      </w:r>
      <w:hyperlink r:id="rId44" w:tgtFrame="_blank" w:history="1">
        <w:r w:rsidRPr="00D76796">
          <w:rPr>
            <w:rStyle w:val="Hyperlink"/>
            <w:rFonts w:ascii="Georgia" w:hAnsi="Georgia" w:cs="Times New Roman"/>
            <w:color w:val="4A90E2"/>
            <w:bdr w:val="none" w:sz="0" w:space="0" w:color="auto" w:frame="1"/>
          </w:rPr>
          <w:t xml:space="preserve">Ivan </w:t>
        </w:r>
        <w:proofErr w:type="spellStart"/>
        <w:r w:rsidRPr="00D76796">
          <w:rPr>
            <w:rStyle w:val="Hyperlink"/>
            <w:rFonts w:ascii="Georgia" w:hAnsi="Georgia" w:cs="Times New Roman"/>
            <w:color w:val="4A90E2"/>
            <w:bdr w:val="none" w:sz="0" w:space="0" w:color="auto" w:frame="1"/>
          </w:rPr>
          <w:t>Arismendi</w:t>
        </w:r>
        <w:proofErr w:type="spellEnd"/>
      </w:hyperlink>
      <w:r w:rsidRPr="00D76796">
        <w:rPr>
          <w:rFonts w:ascii="Georgia" w:hAnsi="Georgia" w:cs="Times New Roman"/>
          <w:color w:val="000000"/>
        </w:rPr>
        <w:t> are beginning to change that with a </w:t>
      </w:r>
      <w:hyperlink r:id="rId45" w:tgtFrame="_blank" w:history="1">
        <w:r w:rsidRPr="00D76796">
          <w:rPr>
            <w:rStyle w:val="Hyperlink"/>
            <w:rFonts w:ascii="Georgia" w:hAnsi="Georgia" w:cs="Times New Roman"/>
            <w:color w:val="4A90E2"/>
            <w:bdr w:val="none" w:sz="0" w:space="0" w:color="auto" w:frame="1"/>
          </w:rPr>
          <w:t>just-published paper</w:t>
        </w:r>
      </w:hyperlink>
      <w:r w:rsidRPr="00D76796">
        <w:rPr>
          <w:rFonts w:ascii="Georgia" w:hAnsi="Georgia" w:cs="Times New Roman"/>
          <w:color w:val="000000"/>
        </w:rPr>
        <w:t> in Biodiversity and Conservation that outlines what they observed from one year of footage from motion-triggered video cameras they set up near multiple large log jams in a creek just west of Corvallis.</w:t>
      </w:r>
    </w:p>
    <w:p w:rsidR="00A27114" w:rsidRPr="00D76796" w:rsidRDefault="00A27114" w:rsidP="00A27114">
      <w:pPr>
        <w:pStyle w:val="NormalWeb"/>
        <w:spacing w:before="0" w:after="0"/>
        <w:ind w:left="720"/>
        <w:textAlignment w:val="baseline"/>
        <w:rPr>
          <w:rFonts w:ascii="Georgia" w:hAnsi="Georgia" w:cs="Times New Roman"/>
          <w:color w:val="000000"/>
        </w:rPr>
      </w:pPr>
    </w:p>
    <w:p w:rsidR="00A27114" w:rsidRPr="00D76796" w:rsidRDefault="00A27114" w:rsidP="00A27114">
      <w:pPr>
        <w:pStyle w:val="NormalWeb"/>
        <w:spacing w:before="0" w:after="225"/>
        <w:ind w:left="720"/>
        <w:textAlignment w:val="baseline"/>
        <w:rPr>
          <w:rFonts w:ascii="Georgia" w:hAnsi="Georgia" w:cs="Times New Roman"/>
          <w:color w:val="000000"/>
        </w:rPr>
      </w:pPr>
      <w:r w:rsidRPr="00D76796">
        <w:rPr>
          <w:rFonts w:ascii="Georgia" w:hAnsi="Georgia" w:cs="Times New Roman"/>
          <w:color w:val="000000"/>
        </w:rPr>
        <w:t xml:space="preserve">“This study reveals a hidden role of large wood in streams,” said </w:t>
      </w:r>
      <w:proofErr w:type="spellStart"/>
      <w:r w:rsidRPr="00D76796">
        <w:rPr>
          <w:rFonts w:ascii="Georgia" w:hAnsi="Georgia" w:cs="Times New Roman"/>
          <w:color w:val="000000"/>
        </w:rPr>
        <w:t>Trevarrow</w:t>
      </w:r>
      <w:proofErr w:type="spellEnd"/>
      <w:r w:rsidRPr="00D76796">
        <w:rPr>
          <w:rFonts w:ascii="Georgia" w:hAnsi="Georgia" w:cs="Times New Roman"/>
          <w:color w:val="000000"/>
        </w:rPr>
        <w:t>, who conducted the research as an undergraduate in the Honors College at Oregon State and is now a research associate at the University of Georgia. “The findings are valuable for land managers because they demonstrate additional value of restoration projects that involve wood placement into streams.”</w:t>
      </w:r>
    </w:p>
    <w:p w:rsidR="00A27114" w:rsidRPr="00D76796" w:rsidRDefault="00A27114" w:rsidP="00A27114">
      <w:pPr>
        <w:pStyle w:val="NormalWeb"/>
        <w:spacing w:before="0" w:after="225"/>
        <w:ind w:left="720"/>
        <w:textAlignment w:val="baseline"/>
        <w:rPr>
          <w:rFonts w:ascii="Georgia" w:hAnsi="Georgia" w:cs="Times New Roman"/>
          <w:color w:val="000000"/>
        </w:rPr>
      </w:pPr>
      <w:r w:rsidRPr="00D76796">
        <w:rPr>
          <w:rFonts w:ascii="Georgia" w:hAnsi="Georgia" w:cs="Times New Roman"/>
          <w:color w:val="000000"/>
        </w:rPr>
        <w:t xml:space="preserve">In the paper, </w:t>
      </w:r>
      <w:proofErr w:type="spellStart"/>
      <w:r w:rsidRPr="00D76796">
        <w:rPr>
          <w:rFonts w:ascii="Georgia" w:hAnsi="Georgia" w:cs="Times New Roman"/>
          <w:color w:val="000000"/>
        </w:rPr>
        <w:t>Trevarrow</w:t>
      </w:r>
      <w:proofErr w:type="spellEnd"/>
      <w:r w:rsidRPr="00D76796">
        <w:rPr>
          <w:rFonts w:ascii="Georgia" w:hAnsi="Georgia" w:cs="Times New Roman"/>
          <w:color w:val="000000"/>
        </w:rPr>
        <w:t xml:space="preserve"> and </w:t>
      </w:r>
      <w:proofErr w:type="spellStart"/>
      <w:r w:rsidRPr="00D76796">
        <w:rPr>
          <w:rFonts w:ascii="Georgia" w:hAnsi="Georgia" w:cs="Times New Roman"/>
          <w:color w:val="000000"/>
        </w:rPr>
        <w:t>Arismendi</w:t>
      </w:r>
      <w:proofErr w:type="spellEnd"/>
      <w:r w:rsidRPr="00D76796">
        <w:rPr>
          <w:rFonts w:ascii="Georgia" w:hAnsi="Georgia" w:cs="Times New Roman"/>
          <w:color w:val="000000"/>
        </w:rPr>
        <w:t xml:space="preserve"> focused their attention on what species they saw, the most common observed activities and the seasonality of the detections. Among their findings:</w:t>
      </w:r>
    </w:p>
    <w:p w:rsidR="00A27114" w:rsidRPr="00D76796" w:rsidRDefault="00A27114" w:rsidP="00A27114">
      <w:pPr>
        <w:numPr>
          <w:ilvl w:val="0"/>
          <w:numId w:val="12"/>
        </w:numPr>
        <w:tabs>
          <w:tab w:val="clear" w:pos="720"/>
          <w:tab w:val="num" w:pos="1440"/>
        </w:tabs>
        <w:spacing w:after="75" w:line="240" w:lineRule="auto"/>
        <w:ind w:left="1245"/>
        <w:textAlignment w:val="baseline"/>
        <w:rPr>
          <w:rFonts w:cs="Times New Roman"/>
          <w:color w:val="000000"/>
        </w:rPr>
      </w:pPr>
      <w:r w:rsidRPr="00D76796">
        <w:rPr>
          <w:rFonts w:cs="Times New Roman"/>
          <w:color w:val="000000"/>
        </w:rPr>
        <w:t>Forty species were observed during the study period. The most common species included mule deer, raccoon belted kingfisher, Townsend’s chipmunk, deer mouse western grey squirrel, Virginia opossum and American robin.</w:t>
      </w:r>
    </w:p>
    <w:p w:rsidR="00A27114" w:rsidRPr="00D76796" w:rsidRDefault="00A27114" w:rsidP="00A27114">
      <w:pPr>
        <w:numPr>
          <w:ilvl w:val="0"/>
          <w:numId w:val="12"/>
        </w:numPr>
        <w:spacing w:after="75" w:line="240" w:lineRule="auto"/>
        <w:ind w:left="1245"/>
        <w:textAlignment w:val="baseline"/>
        <w:rPr>
          <w:rFonts w:cs="Times New Roman"/>
          <w:color w:val="000000"/>
        </w:rPr>
      </w:pPr>
      <w:r w:rsidRPr="00D76796">
        <w:rPr>
          <w:rFonts w:cs="Times New Roman"/>
          <w:color w:val="000000"/>
        </w:rPr>
        <w:lastRenderedPageBreak/>
        <w:t xml:space="preserve">The most common animal activities around the log jams included movement (68%), rest (18%), and food handling/eating (9%), suggesting that large wood in streams acts as lateral corridors, or highways as </w:t>
      </w:r>
      <w:proofErr w:type="spellStart"/>
      <w:r w:rsidRPr="00D76796">
        <w:rPr>
          <w:rFonts w:cs="Times New Roman"/>
          <w:color w:val="000000"/>
        </w:rPr>
        <w:t>Trevarrow</w:t>
      </w:r>
      <w:proofErr w:type="spellEnd"/>
      <w:r w:rsidRPr="00D76796">
        <w:rPr>
          <w:rFonts w:cs="Times New Roman"/>
          <w:color w:val="000000"/>
        </w:rPr>
        <w:t xml:space="preserve"> put it, connecting land habitats year-round for wildlife.</w:t>
      </w:r>
    </w:p>
    <w:p w:rsidR="00A27114" w:rsidRPr="00D76796" w:rsidRDefault="00A27114" w:rsidP="00A27114">
      <w:pPr>
        <w:numPr>
          <w:ilvl w:val="0"/>
          <w:numId w:val="12"/>
        </w:numPr>
        <w:spacing w:after="75" w:line="240" w:lineRule="auto"/>
        <w:ind w:left="1245"/>
        <w:textAlignment w:val="baseline"/>
        <w:rPr>
          <w:rFonts w:cs="Times New Roman"/>
          <w:color w:val="000000"/>
        </w:rPr>
      </w:pPr>
      <w:r w:rsidRPr="00D76796">
        <w:rPr>
          <w:rFonts w:cs="Times New Roman"/>
          <w:color w:val="000000"/>
        </w:rPr>
        <w:t>A strong seasonality in detections and species richness with the highest values occurring in summer and spring, and the lowest values in winter. For example, the most species were seen in summer (27), followed by spring (23), fall (22) and winter (16).</w:t>
      </w:r>
    </w:p>
    <w:p w:rsidR="00A27114" w:rsidRPr="00D76796" w:rsidRDefault="00A27114" w:rsidP="00A27114">
      <w:pPr>
        <w:ind w:left="720"/>
      </w:pPr>
      <w:r w:rsidRPr="00D76796">
        <w:t>…</w:t>
      </w:r>
    </w:p>
    <w:p w:rsidR="00A27114" w:rsidRPr="00D76796" w:rsidRDefault="00A27114" w:rsidP="00A27114">
      <w:pPr>
        <w:spacing w:after="225"/>
        <w:ind w:left="720"/>
        <w:textAlignment w:val="baseline"/>
        <w:rPr>
          <w:rFonts w:eastAsia="Times New Roman" w:cs="Times New Roman"/>
          <w:color w:val="000000"/>
          <w:szCs w:val="24"/>
        </w:rPr>
      </w:pPr>
      <w:r w:rsidRPr="00D76796">
        <w:rPr>
          <w:rFonts w:eastAsia="Times New Roman" w:cs="Times New Roman"/>
          <w:color w:val="000000"/>
          <w:szCs w:val="24"/>
        </w:rPr>
        <w:t>While the benefits of large wood in streams for fish, particularly salmon, have been well studied, few studies have focused on the impact on land-based animals, the Oregon State researchers said.</w:t>
      </w:r>
    </w:p>
    <w:p w:rsidR="00A27114" w:rsidRPr="00D76796" w:rsidRDefault="00A27114" w:rsidP="00A27114">
      <w:pPr>
        <w:ind w:left="720"/>
        <w:textAlignment w:val="baseline"/>
        <w:rPr>
          <w:rFonts w:eastAsia="Times New Roman" w:cs="Times New Roman"/>
          <w:color w:val="000000"/>
          <w:szCs w:val="24"/>
        </w:rPr>
      </w:pPr>
      <w:r w:rsidRPr="00D76796">
        <w:rPr>
          <w:rFonts w:eastAsia="Times New Roman" w:cs="Times New Roman"/>
          <w:color w:val="000000"/>
          <w:szCs w:val="24"/>
        </w:rPr>
        <w:t>For their study, they set up 13 cameras between June 2020 and June 2021 along Rock Creek, about 15 miles west of Corvallis. They collected 1,921 videos containing at least one animal detection, …</w:t>
      </w:r>
    </w:p>
    <w:p w:rsidR="00A27114" w:rsidRDefault="00A27114" w:rsidP="00A27114">
      <w:r>
        <w:t xml:space="preserve">KTVZ News 6-21-2022. </w:t>
      </w:r>
      <w:r w:rsidRPr="0054788A">
        <w:t>OSU research looks at importance of large wood in streams for land-based animals</w:t>
      </w:r>
      <w:r>
        <w:t xml:space="preserve">. </w:t>
      </w:r>
      <w:hyperlink r:id="rId46" w:history="1">
        <w:r w:rsidRPr="006B010B">
          <w:rPr>
            <w:rStyle w:val="Hyperlink"/>
          </w:rPr>
          <w:t>https://ktvz.com/news/environment/2022/06/21/osu-research-looks-at-importance-of-large-wood-in-streams-for-land-based-animals/</w:t>
        </w:r>
      </w:hyperlink>
      <w:r>
        <w:t xml:space="preserve"> </w:t>
      </w:r>
      <w:r w:rsidRPr="0054788A">
        <w:rPr>
          <w:i/>
        </w:rPr>
        <w:t>citing</w:t>
      </w:r>
      <w:r>
        <w:t xml:space="preserve"> </w:t>
      </w:r>
      <w:proofErr w:type="spellStart"/>
      <w:r w:rsidRPr="0054788A">
        <w:t>Trevarrow</w:t>
      </w:r>
      <w:proofErr w:type="spellEnd"/>
      <w:r w:rsidRPr="0054788A">
        <w:t xml:space="preserve">, E., </w:t>
      </w:r>
      <w:proofErr w:type="spellStart"/>
      <w:r w:rsidRPr="0054788A">
        <w:t>Arismendi</w:t>
      </w:r>
      <w:proofErr w:type="spellEnd"/>
      <w:r w:rsidRPr="0054788A">
        <w:t xml:space="preserve">, I. The role of large wood in streams as ecological corridors for wildlife biodiversity. </w:t>
      </w:r>
      <w:proofErr w:type="spellStart"/>
      <w:r w:rsidRPr="0054788A">
        <w:t>Biodivers</w:t>
      </w:r>
      <w:proofErr w:type="spellEnd"/>
      <w:r w:rsidRPr="0054788A">
        <w:t xml:space="preserve"> </w:t>
      </w:r>
      <w:proofErr w:type="spellStart"/>
      <w:r w:rsidRPr="0054788A">
        <w:t>Conserv</w:t>
      </w:r>
      <w:proofErr w:type="spellEnd"/>
      <w:r w:rsidRPr="0054788A">
        <w:t xml:space="preserve"> (2022). </w:t>
      </w:r>
      <w:hyperlink r:id="rId47" w:history="1">
        <w:r w:rsidRPr="006B010B">
          <w:rPr>
            <w:rStyle w:val="Hyperlink"/>
          </w:rPr>
          <w:t>https://doi.org/10.1007/s10531-022-02437-2</w:t>
        </w:r>
      </w:hyperlink>
      <w:r>
        <w:t xml:space="preserve"> </w:t>
      </w:r>
      <w:hyperlink r:id="rId48" w:history="1">
        <w:r w:rsidRPr="006B010B">
          <w:rPr>
            <w:rStyle w:val="Hyperlink"/>
          </w:rPr>
          <w:t>https://link.springer.com/article/10.1007/s10531-022-02437-2</w:t>
        </w:r>
      </w:hyperlink>
      <w:r>
        <w:t xml:space="preserve">. </w:t>
      </w:r>
    </w:p>
    <w:p w:rsidR="00A27114" w:rsidRDefault="00A27114" w:rsidP="00A27114"/>
    <w:p w:rsidR="00A27114" w:rsidRPr="00465AB0" w:rsidRDefault="00A27114" w:rsidP="00A27114">
      <w:r w:rsidRPr="00465AB0">
        <w:t xml:space="preserve">The agency </w:t>
      </w:r>
      <w:r w:rsidRPr="00465AB0">
        <w:rPr>
          <w:rFonts w:cs="Times New Roman"/>
          <w:color w:val="222222"/>
          <w:shd w:val="clear" w:color="auto" w:fill="FFFFFF"/>
        </w:rPr>
        <w:t xml:space="preserve">should not manage for </w:t>
      </w:r>
      <w:r w:rsidRPr="00465AB0">
        <w:rPr>
          <w:rFonts w:cs="Times New Roman"/>
          <w:i/>
          <w:color w:val="222222"/>
          <w:shd w:val="clear" w:color="auto" w:fill="FFFFFF"/>
        </w:rPr>
        <w:t>minimum</w:t>
      </w:r>
      <w:r w:rsidRPr="00465AB0">
        <w:rPr>
          <w:rFonts w:cs="Times New Roman"/>
          <w:color w:val="222222"/>
          <w:shd w:val="clear" w:color="auto" w:fill="FFFFFF"/>
        </w:rPr>
        <w:t xml:space="preserve"> levels of dead wood because </w:t>
      </w:r>
      <w:r w:rsidRPr="00465AB0">
        <w:rPr>
          <w:rFonts w:cs="Times New Roman"/>
          <w:i/>
          <w:color w:val="222222"/>
          <w:shd w:val="clear" w:color="auto" w:fill="FFFFFF"/>
        </w:rPr>
        <w:t>optimal</w:t>
      </w:r>
      <w:r w:rsidRPr="00465AB0">
        <w:rPr>
          <w:rFonts w:cs="Times New Roman"/>
          <w:color w:val="222222"/>
          <w:shd w:val="clear" w:color="auto" w:fill="FFFFFF"/>
        </w:rPr>
        <w:t xml:space="preserve"> levels of dead wood are much higher than minimums. In fact, there may not be any maximum.</w:t>
      </w:r>
      <w:r w:rsidRPr="00465AB0">
        <w:rPr>
          <w:rFonts w:cs="Times New Roman"/>
        </w:rPr>
        <w:t xml:space="preserve"> </w:t>
      </w:r>
      <w:r w:rsidRPr="00465AB0">
        <w:t xml:space="preserve">“The presence of LWM within a stream channel is critical to maintaining integrity of the system, in fact, there cannot be an overabundance of LWM.” Deschutes NF, 1997. Big Marsh Watershed Analysis. The Regional Ecosystem office recommends managing dead wood in young stands within reserves to attain </w:t>
      </w:r>
      <w:r w:rsidRPr="00465AB0">
        <w:rPr>
          <w:i/>
        </w:rPr>
        <w:t>biologically optimal</w:t>
      </w:r>
      <w:r w:rsidRPr="00465AB0">
        <w:t xml:space="preserve"> levels, not just </w:t>
      </w:r>
      <w:r w:rsidRPr="00465AB0">
        <w:rPr>
          <w:i/>
        </w:rPr>
        <w:t>average</w:t>
      </w:r>
      <w:r w:rsidRPr="00465AB0">
        <w:t xml:space="preserve"> or </w:t>
      </w:r>
      <w:r w:rsidRPr="00465AB0">
        <w:rPr>
          <w:i/>
        </w:rPr>
        <w:t>reference</w:t>
      </w:r>
      <w:r w:rsidRPr="00465AB0">
        <w:t xml:space="preserve"> levels. REO said “CWD objectives should be based on research that shows optimum levels of habitat for late-successional forest-related species, and not be based simply on measurements within natural stands.” REO 7-9-1996 Criteria to Exempt Specific Silvicultural Activities in Late-Successional Reserves, </w:t>
      </w:r>
      <w:hyperlink r:id="rId49" w:history="1">
        <w:r w:rsidRPr="00465AB0">
          <w:rPr>
            <w:rStyle w:val="Hyperlink"/>
          </w:rPr>
          <w:t>http://www.reo.gov/library/policy/REO-694_comm_thin_criteria.doc</w:t>
        </w:r>
      </w:hyperlink>
      <w:r w:rsidRPr="00465AB0">
        <w:t>.</w:t>
      </w:r>
    </w:p>
    <w:p w:rsidR="00A27114" w:rsidRDefault="00A27114" w:rsidP="00A27114"/>
    <w:p w:rsidR="00A27114" w:rsidRPr="00FF1B36" w:rsidRDefault="00A27114" w:rsidP="00A27114">
      <w:r w:rsidRPr="00FF1B36">
        <w:t xml:space="preserve">Where streams are degraded, management of riparian forests should strive to meet the high end of the natural range for large wood, not the central tendency. This brings into question the minimum requirements that pervade current standards. Fox &amp; Bolton (2007) recommend - </w:t>
      </w:r>
    </w:p>
    <w:p w:rsidR="00A27114" w:rsidRPr="00FF1B36" w:rsidRDefault="00A27114" w:rsidP="00A27114">
      <w:pPr>
        <w:ind w:left="720"/>
      </w:pPr>
      <w:r w:rsidRPr="00FF1B36">
        <w:t>In degraded streams, where management is needed to restore favorable conditions, wood loads are often no longer found in the upper distribution of these ranges, or the distribution is centered around a lower mean. In these cases, merely managing for the mean or median will not restore the natural ranges of heterogeneity. Thus, for management purposes intending to restore natural wood-loading conditions, establishing instream wood targets based on the upper portion of the distribution observed in natural systems (i.e., the 75th percentile) rather than the lower portion of the distribution are reasonable as well as prudent to restore natural ranges.</w:t>
      </w:r>
    </w:p>
    <w:p w:rsidR="00A27114" w:rsidRDefault="00A27114" w:rsidP="00A27114">
      <w:r w:rsidRPr="00FF1B36">
        <w:lastRenderedPageBreak/>
        <w:t xml:space="preserve">Martin Fox &amp; Susan Bolton (2007) A Regional and Geomorphic Reference for Quantities and Volumes of Instream Wood in Unmanaged Forested Basins of Washington State, North American Journal of Fisheries Management, 27:1, 342-359, DOI: 10.1577/M05-024.1. </w:t>
      </w:r>
      <w:hyperlink r:id="rId50" w:history="1">
        <w:r w:rsidRPr="00FF1B36">
          <w:rPr>
            <w:rStyle w:val="Hyperlink"/>
          </w:rPr>
          <w:t>http://dx.doi.org/10.1577/M05-024.1</w:t>
        </w:r>
      </w:hyperlink>
      <w:r w:rsidRPr="00FF1B36">
        <w:t xml:space="preserve"> </w:t>
      </w:r>
      <w:r w:rsidRPr="00FF1B36">
        <w:cr/>
      </w:r>
    </w:p>
    <w:p w:rsidR="00A27114" w:rsidRDefault="00A27114" w:rsidP="00A27114">
      <w:r>
        <w:t>Restoration of riparian reserves requires several things, including accumulation of basal area and conifer regeneration, both of which require retention of abundant live trees. The 1993 report of the Scientific Analysis Team (SAT), an appendix to FEMAT and the NFWP says:</w:t>
      </w:r>
    </w:p>
    <w:p w:rsidR="00A27114" w:rsidRDefault="00A27114" w:rsidP="00A27114">
      <w:pPr>
        <w:pStyle w:val="BodyTextIndent"/>
      </w:pPr>
      <w:r>
        <w:t xml:space="preserve"> Several studies (</w:t>
      </w:r>
      <w:proofErr w:type="spellStart"/>
      <w:r>
        <w:t>Steinblums</w:t>
      </w:r>
      <w:proofErr w:type="spellEnd"/>
      <w:r>
        <w:t xml:space="preserve"> 1977, Franklin et al. 1981, </w:t>
      </w:r>
      <w:proofErr w:type="spellStart"/>
      <w:r>
        <w:t>Heimann</w:t>
      </w:r>
      <w:proofErr w:type="spellEnd"/>
      <w:r>
        <w:t xml:space="preserve"> 1988, Andrus et al. 1988, </w:t>
      </w:r>
      <w:proofErr w:type="spellStart"/>
      <w:r>
        <w:t>Ursitti</w:t>
      </w:r>
      <w:proofErr w:type="spellEnd"/>
      <w:r>
        <w:t xml:space="preserve"> 1991, and </w:t>
      </w:r>
      <w:proofErr w:type="spellStart"/>
      <w:r>
        <w:t>Morman</w:t>
      </w:r>
      <w:proofErr w:type="spellEnd"/>
      <w:r>
        <w:t xml:space="preserve"> 1993) have found the basal area of conifers, which reflects the size and number of trees present, to be less in riparian areas of second-growth forests than in late-successional and old-growth forests. …</w:t>
      </w:r>
    </w:p>
    <w:p w:rsidR="00A27114" w:rsidRDefault="00A27114" w:rsidP="00A27114">
      <w:pPr>
        <w:ind w:left="720"/>
      </w:pPr>
      <w:r>
        <w:t xml:space="preserve"> Maintenance of riparian forests in late-successional and old-growth forests and restoration in second-growth forests will depend on regeneration rates of conifers in the future. Regeneration of conifers in the riparian zones of natural stands is dependent, at least in part, on downed large trees. Researchers at the Pacific Northwest Research Station, Corvallis, Oregon found that more than 80 percent of conifer regeneration in the riparian zones along coastal Oregon streams that they studied occurred on down logs. The role of nurse trees in forest regeneration in the Pacific Northwest is widely recognized (Harmon et al. 1986). in riparian zones, nurse trees originate within 0 to 400 feet of the active channel. Greater retention of live trees and snags in riparian stands and adjacent upslope source areas will enhance the generation of future riparian forests</w:t>
      </w:r>
    </w:p>
    <w:p w:rsidR="00A27114" w:rsidRDefault="00A27114" w:rsidP="00A27114">
      <w:r>
        <w:t>1993 SAT Report, page 460. The agency may claim that thinning helps regenerate conifers, but it comes at the expense of basal area and recruitment of nurse logs.</w:t>
      </w:r>
    </w:p>
    <w:p w:rsidR="00A27114" w:rsidRDefault="00A27114" w:rsidP="00A27114"/>
    <w:p w:rsidR="00A27114" w:rsidRDefault="00A27114" w:rsidP="00A27114">
      <w:r>
        <w:t xml:space="preserve">The NWFP EIS discloses that there are 199 species (not including fish) that are associated with late-successional and old-growth forests and riparian areas, including 13 amphibians, 38 birds, 29 mammals, and a wide variety of non-vertebrates. Table FSEIS page 3&amp;4-11, page 3&amp;4-62. </w:t>
      </w:r>
    </w:p>
    <w:p w:rsidR="00A27114" w:rsidRDefault="00A27114" w:rsidP="00A27114"/>
    <w:p w:rsidR="00A27114" w:rsidRDefault="00A27114" w:rsidP="00A27114">
      <w:pPr>
        <w:ind w:left="720"/>
        <w:rPr>
          <w:szCs w:val="24"/>
        </w:rPr>
      </w:pPr>
      <w:r>
        <w:t>Current amounts of large woody debris in coastal streams of Oregon and Washington are a fraction of historical levels (</w:t>
      </w:r>
      <w:proofErr w:type="spellStart"/>
      <w:r>
        <w:t>Bilby</w:t>
      </w:r>
      <w:proofErr w:type="spellEnd"/>
      <w:r>
        <w:t xml:space="preserve"> and Ward 1991, </w:t>
      </w:r>
      <w:proofErr w:type="spellStart"/>
      <w:r>
        <w:t>Bisson</w:t>
      </w:r>
      <w:proofErr w:type="spellEnd"/>
      <w:r>
        <w:t xml:space="preserve"> et al. 1987, NRC 1992). … Stream surveys by private timber companies and federal land management agencies in the Northwest reveal an overall loss of stream habitat quality (FEMAT 1993, Kaczynski and </w:t>
      </w:r>
      <w:proofErr w:type="spellStart"/>
      <w:r>
        <w:t>Palmisano</w:t>
      </w:r>
      <w:proofErr w:type="spellEnd"/>
      <w:r>
        <w:t xml:space="preserve"> 1993, </w:t>
      </w:r>
      <w:proofErr w:type="spellStart"/>
      <w:r>
        <w:t>Wissmar</w:t>
      </w:r>
      <w:proofErr w:type="spellEnd"/>
      <w:r>
        <w:t xml:space="preserve"> et al. 1994) that is strongly related to changes in riparian vegetation, especially harvest of merchantable riparian timber.</w:t>
      </w:r>
    </w:p>
    <w:p w:rsidR="00A27114" w:rsidRDefault="00A27114" w:rsidP="00A27114">
      <w:r>
        <w:rPr>
          <w:szCs w:val="24"/>
        </w:rPr>
        <w:t xml:space="preserve">Everest, Fred H.; Reeves, Gordon H. 2006. Riparian and aquatic habitats of the Pacific Northwest and southeast Alaska: ecology, management history, and potential management strategies. Gen. Tech. Rep. PNW-GTR-692. Portland, OR: U.S. Department of Agriculture, Forest Service, Pacific Northwest Research Station. 130 p. </w:t>
      </w:r>
      <w:hyperlink r:id="rId51" w:history="1">
        <w:r>
          <w:rPr>
            <w:rStyle w:val="Hyperlink"/>
            <w:szCs w:val="24"/>
          </w:rPr>
          <w:t>http://www.fs.fed.us/pnw/pubs/pnw_gtr692.pdf</w:t>
        </w:r>
      </w:hyperlink>
      <w:r>
        <w:rPr>
          <w:szCs w:val="24"/>
        </w:rPr>
        <w:t>.</w:t>
      </w:r>
    </w:p>
    <w:p w:rsidR="00A27114" w:rsidRDefault="00A27114" w:rsidP="00A27114"/>
    <w:p w:rsidR="00A27114" w:rsidRDefault="00A27114" w:rsidP="00A27114">
      <w:r>
        <w:t>In order to retain options for recruitment of large wood in degraded stream systems, scientific recommendations include retention of trees &gt;12” dbh.</w:t>
      </w:r>
    </w:p>
    <w:p w:rsidR="00A27114" w:rsidRDefault="00A27114" w:rsidP="00A27114">
      <w:pPr>
        <w:ind w:left="720"/>
      </w:pPr>
      <w:r>
        <w:t xml:space="preserve">Removal of trees from riparian zones may delay the recovery of fish habitat. At a minimum, the largest trees (that is, those &gt; 12 inches in diameter at breast height) </w:t>
      </w:r>
      <w:r>
        <w:lastRenderedPageBreak/>
        <w:t xml:space="preserve">should be left in riparian areas for future sources of in-stream wood. This would apply to all streams, as recommended by Anderson and others (1992). Smaller trees could be removed as part of a program for riparian vegetation restoration. </w:t>
      </w:r>
    </w:p>
    <w:p w:rsidR="00A27114" w:rsidRPr="00FC550F" w:rsidRDefault="00A27114" w:rsidP="00A27114">
      <w:pPr>
        <w:rPr>
          <w:szCs w:val="24"/>
        </w:rPr>
      </w:pPr>
      <w:r>
        <w:t xml:space="preserve">Gordon H. Reeves and Fred H. Everest. 1994. REDUCING HAZARD FOR ENDANGERED SALMON STOCKS, </w:t>
      </w:r>
      <w:r>
        <w:rPr>
          <w:i/>
        </w:rPr>
        <w:t>in</w:t>
      </w:r>
      <w:r>
        <w:t xml:space="preserve"> Eastside Forest Ecosystem Health Assessment; Volume IV. Everett, Richard L., comp. 1994. Restoration of Stressed Sites, and Processes. Gen. Tech. Rep. PNW-GTR-330. Portland, OR: USDA, Forest Service, Pacific Northwest Research Station. </w:t>
      </w:r>
      <w:r>
        <w:rPr>
          <w:szCs w:val="24"/>
        </w:rPr>
        <w:t xml:space="preserve"> </w:t>
      </w:r>
      <w:hyperlink r:id="rId52" w:history="1">
        <w:r w:rsidRPr="00041242">
          <w:rPr>
            <w:rStyle w:val="Hyperlink"/>
            <w:szCs w:val="24"/>
          </w:rPr>
          <w:t>https://www.fs.fed.us/pnw/pubs/pnw_gtr330.pdf</w:t>
        </w:r>
      </w:hyperlink>
      <w:r>
        <w:rPr>
          <w:szCs w:val="24"/>
        </w:rPr>
        <w:t xml:space="preserve">. </w:t>
      </w:r>
    </w:p>
    <w:p w:rsidR="00A27114" w:rsidRDefault="004D63D8" w:rsidP="00A27114">
      <w:r>
        <w:t xml:space="preserve"> (p 23).</w:t>
      </w:r>
    </w:p>
    <w:p w:rsidR="004D63D8" w:rsidRDefault="004D63D8" w:rsidP="004D63D8">
      <w:pPr>
        <w:pStyle w:val="Heading2"/>
      </w:pPr>
      <w:bookmarkStart w:id="18" w:name="_Toc176959867"/>
      <w:r>
        <w:t>The EA fails to accurately disclose the adverse effects of logging on riparian reserves</w:t>
      </w:r>
      <w:bookmarkEnd w:id="18"/>
      <w:r>
        <w:t xml:space="preserve"> </w:t>
      </w:r>
    </w:p>
    <w:p w:rsidR="004D63D8" w:rsidRDefault="004D63D8" w:rsidP="004D63D8">
      <w:r>
        <w:t>The EA makes an inaccurate and unsupported assertion that logging riparian reserves will enhance aquatic habitat. “</w:t>
      </w:r>
      <w:r w:rsidRPr="00D76796">
        <w:rPr>
          <w:lang w:val="en-US"/>
        </w:rPr>
        <w:t>Habitat elements such as large standing conifers and downed wood, multi-layered canopies, and species diversity would be improved by these activities.</w:t>
      </w:r>
      <w:r>
        <w:rPr>
          <w:lang w:val="en-US"/>
        </w:rPr>
        <w:t xml:space="preserve">” (North Fork Smith EA, Appendix C, p 15.) This is not accurate. Numerous scientific studies show that riparian thinning has adverse effects on stream temperature, riparian microclimate, and wood recruitment. This adverse effect of logging on wood recruitment is significant and long-lasting. </w:t>
      </w:r>
    </w:p>
    <w:p w:rsidR="004D63D8" w:rsidRDefault="004D63D8" w:rsidP="00A27114"/>
    <w:p w:rsidR="00A27114" w:rsidRDefault="00A27114" w:rsidP="00A27114">
      <w:r>
        <w:t xml:space="preserve">New science brings into question the ecological value of commercial logging as a restoration tool in riparian reserves in the Coast Range and western Cascades of Washington and Oregon. </w:t>
      </w:r>
    </w:p>
    <w:p w:rsidR="00A27114" w:rsidRDefault="00A27114" w:rsidP="00A27114">
      <w:pPr>
        <w:ind w:left="720"/>
      </w:pPr>
      <w:r>
        <w:t>… our data suggest that mature, late-successional conifer dominated forests have well developed structural characteristics in terms of abundant large trees in the overstory, abundant large snags, and a well-developed understory of shade-tolerant trees. We modeled the growth of young conifer stands to assess whether a common restoration treatment [thinning to 150 trees per hectare] would accelerate development of structural characteristics typical of reference conditions. We found that left untreated, the stands followed a trajectory towards developing forest structure similar to the average reference condition. In contrast, the restoration treatment followed a developmental trajectory along the outside range of reference conditions.</w:t>
      </w:r>
    </w:p>
    <w:p w:rsidR="00A27114" w:rsidRDefault="00A27114" w:rsidP="00A27114">
      <w:r>
        <w:t xml:space="preserve">Pollock, M. M., T. J. Beechie, and H. </w:t>
      </w:r>
      <w:proofErr w:type="spellStart"/>
      <w:r>
        <w:t>Imaki</w:t>
      </w:r>
      <w:proofErr w:type="spellEnd"/>
      <w:r>
        <w:t xml:space="preserve">. 2012. Using reference conditions in ecosystem restoration: an example for riparian conifer forests in the Pacific Northwest. Ecosphere 3(11):98. </w:t>
      </w:r>
      <w:hyperlink r:id="rId53" w:history="1">
        <w:r>
          <w:rPr>
            <w:rStyle w:val="Hyperlink"/>
          </w:rPr>
          <w:t>http://dx.doi.org/10.1890/ES12-00175.1</w:t>
        </w:r>
      </w:hyperlink>
      <w:r>
        <w:t xml:space="preserve"> The following figure from this study shows that all types of thinning cause stand development to miss the reference stand trajectory for dead wood.</w:t>
      </w:r>
    </w:p>
    <w:p w:rsidR="00A27114" w:rsidRDefault="00A27114" w:rsidP="00A27114">
      <w:pPr>
        <w:ind w:left="720"/>
      </w:pPr>
      <w:r w:rsidRPr="00EB0062">
        <w:rPr>
          <w:noProof/>
          <w:lang w:val="en-US"/>
        </w:rPr>
        <w:lastRenderedPageBreak/>
        <w:drawing>
          <wp:inline distT="0" distB="0" distL="0" distR="0">
            <wp:extent cx="4632960" cy="33680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632960" cy="3368040"/>
                    </a:xfrm>
                    <a:prstGeom prst="rect">
                      <a:avLst/>
                    </a:prstGeom>
                    <a:noFill/>
                    <a:ln>
                      <a:noFill/>
                    </a:ln>
                  </pic:spPr>
                </pic:pic>
              </a:graphicData>
            </a:graphic>
          </wp:inline>
        </w:drawing>
      </w:r>
    </w:p>
    <w:p w:rsidR="00A27114" w:rsidRDefault="00A27114" w:rsidP="00A27114"/>
    <w:p w:rsidR="00A27114" w:rsidRDefault="00A27114" w:rsidP="00A27114">
      <w:r>
        <w:t xml:space="preserve">Since streams are already severely degraded by logging, any further logging in riparian reserves should be very carefully scrutinized to avoid further adverse effects. Any claimed benefits of logging in riparian reserves should be clearly justified and supported by compelling scientific evidence. And that is just what the NWFP Aquatic Conservation Strategy calls for. ACS Objective #8 calls for restoring and maintaining “amounts and distributions of coarse woody debris sufficient to sustain physical complexity and stability.” Existing large wood levels are deficient across the landscape due to past and ongoing harvest practices. The objectives require retention </w:t>
      </w:r>
      <w:r>
        <w:rPr>
          <w:u w:val="single"/>
        </w:rPr>
        <w:t>and long–term recruitment</w:t>
      </w:r>
      <w:r>
        <w:t xml:space="preserve"> of abundant trees and wood especially large wood that provides long-lasting ecological services.</w:t>
      </w:r>
    </w:p>
    <w:p w:rsidR="00A27114" w:rsidRDefault="00A27114" w:rsidP="00A27114"/>
    <w:p w:rsidR="00A27114" w:rsidRDefault="00A27114" w:rsidP="00A27114">
      <w:r>
        <w:t xml:space="preserve">“The effect that wood has on [fish] habitat is related to the size of the piece of wood relative to the channel size and gradient.” East Alsea Landscape Management Project – EA Appendix H - Fish BE, 4-18-2011. The NEPA analysis should therefore disclose the effects of logging not only on absolute size of wood but on the size of wood relative to stream size and gradient. Dead wood of all sizes is important to streams and riparian function. In small streams, small wood can even perform the ecological and hydrological functions normally thought to require large wood. If the goal of logging is to create large trees faster, the NEPA analysis should document the size, gradient, and other characteristics of streams adjacent to each logging area and determine the size of wood that can serve key ecological and hydrological functions, then disclose the effects of logging relative to those relevant wood sizes. </w:t>
      </w:r>
    </w:p>
    <w:p w:rsidR="00A27114" w:rsidRDefault="00A27114" w:rsidP="00A27114">
      <w:bookmarkStart w:id="19" w:name="_Toc3557549"/>
    </w:p>
    <w:p w:rsidR="004D63D8" w:rsidRDefault="004D63D8" w:rsidP="004D63D8">
      <w:pPr>
        <w:spacing w:after="240"/>
        <w:rPr>
          <w:szCs w:val="24"/>
        </w:rPr>
      </w:pPr>
      <w:r>
        <w:t>Contrary to common assumptions, thinning is not a zero sum game, especially not in the years immediately following thinning. The wood that is captured and removed does not regrow for decades, and if a disturbance event comes along during that time, the absolute volume of wood recruited to streams WILL be adversely affected.</w:t>
      </w:r>
      <w:r>
        <w:rPr>
          <w:szCs w:val="24"/>
        </w:rPr>
        <w:t xml:space="preserve"> “[T]he data have not supported early </w:t>
      </w:r>
      <w:r>
        <w:rPr>
          <w:szCs w:val="24"/>
        </w:rPr>
        <w:lastRenderedPageBreak/>
        <w:t>expectations of ‘bonus’ volume from thinned stands compared with unthinned. … [T]</w:t>
      </w:r>
      <w:proofErr w:type="spellStart"/>
      <w:r>
        <w:rPr>
          <w:szCs w:val="24"/>
        </w:rPr>
        <w:t>hinnings</w:t>
      </w:r>
      <w:proofErr w:type="spellEnd"/>
      <w:r>
        <w:rPr>
          <w:szCs w:val="24"/>
        </w:rPr>
        <w:t xml:space="preserve"> that are late or heavy can actually decrease harvest volume considerably.” Talbert and Marshall. 2005. Plantation Productivity in the Douglas-fir Region Under Intensive Silvicultural Practices: Results From Research And Operations. Journal of Forestry. March 2005. pp 65-70 </w:t>
      </w:r>
      <w:r>
        <w:rPr>
          <w:i/>
          <w:szCs w:val="24"/>
        </w:rPr>
        <w:t xml:space="preserve">citing </w:t>
      </w:r>
      <w:r>
        <w:rPr>
          <w:szCs w:val="24"/>
        </w:rPr>
        <w:t xml:space="preserve">Curtis and Marshall. 1997. LOGS: A Pioneering Example of Silvicultural Research in Coastal Douglas-fir. Journal of Forestry 95(7):19-25. “In this as in other LOGS installations, the unthinned plots have consistently produced more total volume (CVTS) than any of the thinning treatments.” Curtis, Robert O.; Marshall, David D. 2009. Levels-of-growing-stock cooperative study in Douglas-fir: report no. 18—Rocky Brook, 1963–2006. Res. Pap. PNW-RP-578. Portland, OR: U.S. Department of Agriculture, Forest Service, Pacific Northwest Research Station. 91 p. </w:t>
      </w:r>
      <w:hyperlink r:id="rId55" w:history="1">
        <w:r>
          <w:rPr>
            <w:rStyle w:val="Hyperlink"/>
            <w:szCs w:val="24"/>
          </w:rPr>
          <w:t>http://www.fs.fed.us/pnw/pubs/pnw_rp578.pdf</w:t>
        </w:r>
      </w:hyperlink>
      <w:r>
        <w:rPr>
          <w:szCs w:val="24"/>
        </w:rPr>
        <w:t>.</w:t>
      </w:r>
    </w:p>
    <w:p w:rsidR="004D63D8" w:rsidRDefault="004D63D8" w:rsidP="004D63D8">
      <w:pPr>
        <w:rPr>
          <w:sz w:val="23"/>
          <w:szCs w:val="23"/>
        </w:rPr>
      </w:pPr>
      <w:r>
        <w:rPr>
          <w:sz w:val="23"/>
          <w:szCs w:val="23"/>
        </w:rPr>
        <w:t>NMFS Biological Opinion for the Siuslaw National Forest says that thinning close to streams sacrifices a lot of potential wood recruitment:</w:t>
      </w:r>
    </w:p>
    <w:p w:rsidR="004D63D8" w:rsidRDefault="004D63D8" w:rsidP="004D63D8">
      <w:pPr>
        <w:ind w:left="720"/>
        <w:rPr>
          <w:szCs w:val="24"/>
        </w:rPr>
      </w:pPr>
      <w:r>
        <w:rPr>
          <w:sz w:val="23"/>
          <w:szCs w:val="23"/>
        </w:rPr>
        <w:t xml:space="preserve">According to the </w:t>
      </w:r>
      <w:proofErr w:type="spellStart"/>
      <w:r>
        <w:rPr>
          <w:sz w:val="23"/>
          <w:szCs w:val="23"/>
        </w:rPr>
        <w:t>Organon</w:t>
      </w:r>
      <w:proofErr w:type="spellEnd"/>
      <w:r>
        <w:rPr>
          <w:sz w:val="23"/>
          <w:szCs w:val="23"/>
        </w:rPr>
        <w:t xml:space="preserve"> forest growth model (Spies </w:t>
      </w:r>
      <w:r>
        <w:rPr>
          <w:i/>
          <w:iCs/>
          <w:sz w:val="23"/>
          <w:szCs w:val="23"/>
        </w:rPr>
        <w:t xml:space="preserve">et al. </w:t>
      </w:r>
      <w:r>
        <w:rPr>
          <w:sz w:val="23"/>
          <w:szCs w:val="23"/>
        </w:rPr>
        <w:t xml:space="preserve">2013), and the RAIS in-stream wood recruitment models (McDade </w:t>
      </w:r>
      <w:r>
        <w:rPr>
          <w:i/>
          <w:iCs/>
          <w:sz w:val="23"/>
          <w:szCs w:val="23"/>
        </w:rPr>
        <w:t xml:space="preserve">et al. </w:t>
      </w:r>
      <w:r>
        <w:rPr>
          <w:sz w:val="23"/>
          <w:szCs w:val="23"/>
        </w:rPr>
        <w:t xml:space="preserve">1990), thinning with 120-foot no-cut buffers adjacent to LFH would capture approximately 90-95% of existing wood recruitment. Thinning with 100-foot no-cut buffers would capture approximately 82-90% of existing wood recruitment, and 75-foot no-cut buffers would capture approximately 70-80% of the existing wood recruitment (McDade </w:t>
      </w:r>
      <w:r>
        <w:rPr>
          <w:i/>
          <w:iCs/>
          <w:sz w:val="23"/>
          <w:szCs w:val="23"/>
        </w:rPr>
        <w:t xml:space="preserve">et al. </w:t>
      </w:r>
      <w:r>
        <w:rPr>
          <w:sz w:val="23"/>
          <w:szCs w:val="23"/>
        </w:rPr>
        <w:t xml:space="preserve">1990, Spies </w:t>
      </w:r>
      <w:r>
        <w:rPr>
          <w:i/>
          <w:iCs/>
          <w:sz w:val="23"/>
          <w:szCs w:val="23"/>
        </w:rPr>
        <w:t xml:space="preserve">et al. </w:t>
      </w:r>
      <w:r>
        <w:rPr>
          <w:sz w:val="23"/>
          <w:szCs w:val="23"/>
        </w:rPr>
        <w:t xml:space="preserve">2013). Thinning with 30-foot no-cut buffers would capture approximately 40-50% of the existing wood recruitment (McDade </w:t>
      </w:r>
      <w:r>
        <w:rPr>
          <w:i/>
          <w:iCs/>
          <w:sz w:val="23"/>
          <w:szCs w:val="23"/>
        </w:rPr>
        <w:t xml:space="preserve">et al. </w:t>
      </w:r>
      <w:r>
        <w:rPr>
          <w:sz w:val="23"/>
          <w:szCs w:val="23"/>
        </w:rPr>
        <w:t xml:space="preserve">1990, Spies </w:t>
      </w:r>
      <w:r>
        <w:rPr>
          <w:i/>
          <w:iCs/>
          <w:sz w:val="23"/>
          <w:szCs w:val="23"/>
        </w:rPr>
        <w:t xml:space="preserve">et al. </w:t>
      </w:r>
      <w:r>
        <w:rPr>
          <w:sz w:val="23"/>
          <w:szCs w:val="23"/>
        </w:rPr>
        <w:t>2013). Thinning with 15-foot no-cut buffers would capture approximately 25% of wood recruitment.</w:t>
      </w:r>
    </w:p>
    <w:p w:rsidR="004D63D8" w:rsidRDefault="004D63D8" w:rsidP="004D63D8">
      <w:pPr>
        <w:spacing w:after="240"/>
        <w:rPr>
          <w:szCs w:val="24"/>
        </w:rPr>
      </w:pPr>
      <w:r>
        <w:rPr>
          <w:szCs w:val="24"/>
        </w:rPr>
        <w:t xml:space="preserve">NMFS 2020. </w:t>
      </w:r>
      <w:r w:rsidRPr="007E6F11">
        <w:rPr>
          <w:szCs w:val="24"/>
        </w:rPr>
        <w:t>Endangered Species Act Section 7(a)(2) Biological Opinion and Magnuson-Stevens Fishery Conservation and Management Act Essential Fish Habitat Response for the Siuslaw National Forest Vegetation and Aquatic Restoration Program (USFS File Code: 2600)</w:t>
      </w:r>
      <w:r>
        <w:rPr>
          <w:szCs w:val="24"/>
        </w:rPr>
        <w:t xml:space="preserve">. NMFS Reference: </w:t>
      </w:r>
      <w:r w:rsidRPr="007E6F11">
        <w:rPr>
          <w:szCs w:val="24"/>
        </w:rPr>
        <w:t>WCRO-2019-04010</w:t>
      </w:r>
      <w:r>
        <w:rPr>
          <w:szCs w:val="24"/>
        </w:rPr>
        <w:t>. Sept 3, 2020.</w:t>
      </w:r>
    </w:p>
    <w:p w:rsidR="004D63D8" w:rsidRDefault="004D63D8" w:rsidP="004D63D8">
      <w:pPr>
        <w:pStyle w:val="BodyTextIndent"/>
        <w:rPr>
          <w:szCs w:val="24"/>
        </w:rPr>
      </w:pPr>
      <w:r>
        <w:rPr>
          <w:szCs w:val="24"/>
        </w:rPr>
        <w:t>Modeling studies in western Washington indicate that riparian thinning increases LWM recruitment when trees in the initial stand are too small to create pools (LWM size required to create pools increases with increasing channel width) (Beechie et al. 2000). When trees in the initial stand already are large enough to form pools, thinning reduces the number of trees available for recruitment. For modeled Douglas fir stands, thinning increased LWM recruitment when channels were at least 15 m (49 feet) and the quadratic mean diameter of the stand was about 10 cm (3.9 inches) less than the minimum pool-forming diameter for the channel size. Recruitment was not enhanced by thinning for channels narrower than those described above.</w:t>
      </w:r>
    </w:p>
    <w:p w:rsidR="004D63D8" w:rsidRDefault="004D63D8" w:rsidP="004D63D8">
      <w:pPr>
        <w:rPr>
          <w:szCs w:val="24"/>
        </w:rPr>
      </w:pPr>
      <w:r>
        <w:rPr>
          <w:szCs w:val="24"/>
        </w:rPr>
        <w:t xml:space="preserve">NFMS 2005. Forest Practices on Non-Federal Lands and Pacific Salmon Conservation. Project Team Leader: Jeff Lockwood. Project Team Members: Steve Keller, Don Anderson, and Rick Edwards. NOAA/NMFS. January, 2005. </w:t>
      </w:r>
      <w:hyperlink r:id="rId56" w:history="1">
        <w:r>
          <w:rPr>
            <w:rStyle w:val="Hyperlink"/>
          </w:rPr>
          <w:t>http://www.blm.gov/or/plans/wopr/pub_comments/paper_documents/Paper_1764-1924/WOPR_PAPER_01921.10001.pdf</w:t>
        </w:r>
      </w:hyperlink>
      <w:r>
        <w:t>.</w:t>
      </w:r>
    </w:p>
    <w:p w:rsidR="004D63D8" w:rsidRDefault="004D63D8" w:rsidP="004D63D8">
      <w:pPr>
        <w:rPr>
          <w:szCs w:val="24"/>
        </w:rPr>
      </w:pPr>
    </w:p>
    <w:p w:rsidR="004D63D8" w:rsidRDefault="004D63D8" w:rsidP="004D63D8">
      <w:pPr>
        <w:ind w:left="720"/>
        <w:rPr>
          <w:szCs w:val="24"/>
        </w:rPr>
      </w:pPr>
      <w:r w:rsidRPr="0078584E">
        <w:rPr>
          <w:szCs w:val="24"/>
        </w:rPr>
        <w:lastRenderedPageBreak/>
        <w:t>We found that single and double entry thinning, with no</w:t>
      </w:r>
      <w:r>
        <w:rPr>
          <w:szCs w:val="24"/>
        </w:rPr>
        <w:t xml:space="preserve"> </w:t>
      </w:r>
      <w:r w:rsidRPr="0078584E">
        <w:rPr>
          <w:szCs w:val="24"/>
        </w:rPr>
        <w:t>mitigation (buffers or mechanical tipping of trees into the</w:t>
      </w:r>
      <w:r>
        <w:rPr>
          <w:szCs w:val="24"/>
        </w:rPr>
        <w:t xml:space="preserve"> </w:t>
      </w:r>
      <w:r w:rsidRPr="0078584E">
        <w:rPr>
          <w:szCs w:val="24"/>
        </w:rPr>
        <w:t>stream) can lead to large losses of in-stream wood over a</w:t>
      </w:r>
      <w:r>
        <w:rPr>
          <w:szCs w:val="24"/>
        </w:rPr>
        <w:t xml:space="preserve"> </w:t>
      </w:r>
      <w:r w:rsidRPr="0078584E">
        <w:rPr>
          <w:szCs w:val="24"/>
        </w:rPr>
        <w:t>century time scale; single and double entry thins on one</w:t>
      </w:r>
      <w:r>
        <w:rPr>
          <w:szCs w:val="24"/>
        </w:rPr>
        <w:t xml:space="preserve"> </w:t>
      </w:r>
      <w:r w:rsidRPr="0078584E">
        <w:rPr>
          <w:szCs w:val="24"/>
        </w:rPr>
        <w:t>side of the stream leads to reductions of 33–42 % of</w:t>
      </w:r>
      <w:r>
        <w:rPr>
          <w:szCs w:val="24"/>
        </w:rPr>
        <w:t xml:space="preserve"> </w:t>
      </w:r>
      <w:r w:rsidRPr="0078584E">
        <w:rPr>
          <w:szCs w:val="24"/>
        </w:rPr>
        <w:t>instream wood with simultaneous thinning on both sides of</w:t>
      </w:r>
      <w:r>
        <w:rPr>
          <w:szCs w:val="24"/>
        </w:rPr>
        <w:t xml:space="preserve"> </w:t>
      </w:r>
      <w:r w:rsidRPr="0078584E">
        <w:rPr>
          <w:szCs w:val="24"/>
        </w:rPr>
        <w:t>the stream doubling those losses.</w:t>
      </w:r>
    </w:p>
    <w:p w:rsidR="004D63D8" w:rsidRDefault="004D63D8" w:rsidP="004D63D8">
      <w:pPr>
        <w:rPr>
          <w:szCs w:val="24"/>
        </w:rPr>
      </w:pPr>
      <w:r w:rsidRPr="0078584E">
        <w:rPr>
          <w:szCs w:val="24"/>
        </w:rPr>
        <w:t>Lee E. Benda</w:t>
      </w:r>
      <w:r>
        <w:rPr>
          <w:szCs w:val="24"/>
        </w:rPr>
        <w:t xml:space="preserve">, </w:t>
      </w:r>
      <w:r w:rsidRPr="0078584E">
        <w:rPr>
          <w:szCs w:val="24"/>
        </w:rPr>
        <w:t xml:space="preserve">S. E. </w:t>
      </w:r>
      <w:proofErr w:type="spellStart"/>
      <w:r w:rsidRPr="0078584E">
        <w:rPr>
          <w:szCs w:val="24"/>
        </w:rPr>
        <w:t>Litschert</w:t>
      </w:r>
      <w:proofErr w:type="spellEnd"/>
      <w:r>
        <w:rPr>
          <w:szCs w:val="24"/>
        </w:rPr>
        <w:t xml:space="preserve">, </w:t>
      </w:r>
      <w:r w:rsidRPr="0078584E">
        <w:rPr>
          <w:szCs w:val="24"/>
        </w:rPr>
        <w:t>Gordon Reeves</w:t>
      </w:r>
      <w:r>
        <w:rPr>
          <w:szCs w:val="24"/>
        </w:rPr>
        <w:t xml:space="preserve">, Robert Pabst. 2015. </w:t>
      </w:r>
      <w:r w:rsidRPr="0078584E">
        <w:rPr>
          <w:szCs w:val="24"/>
        </w:rPr>
        <w:t>Thinning and in-stream wood recruitment in riparian second g</w:t>
      </w:r>
      <w:r>
        <w:rPr>
          <w:szCs w:val="24"/>
        </w:rPr>
        <w:t xml:space="preserve">rowth forests in coastal Oregon </w:t>
      </w:r>
      <w:r w:rsidRPr="0078584E">
        <w:rPr>
          <w:szCs w:val="24"/>
        </w:rPr>
        <w:t>and the use of buffers and tree</w:t>
      </w:r>
      <w:r>
        <w:rPr>
          <w:szCs w:val="24"/>
        </w:rPr>
        <w:t xml:space="preserve"> tipping as mitigation. </w:t>
      </w:r>
      <w:r w:rsidRPr="0078584E">
        <w:rPr>
          <w:szCs w:val="24"/>
        </w:rPr>
        <w:t>J. For. Res.</w:t>
      </w:r>
      <w:r>
        <w:rPr>
          <w:szCs w:val="24"/>
        </w:rPr>
        <w:t xml:space="preserve"> </w:t>
      </w:r>
      <w:r w:rsidRPr="0078584E">
        <w:rPr>
          <w:szCs w:val="24"/>
        </w:rPr>
        <w:t>DOI 10.1007/s11676-015-0173-2</w:t>
      </w:r>
      <w:r>
        <w:rPr>
          <w:szCs w:val="24"/>
        </w:rPr>
        <w:t xml:space="preserve">. </w:t>
      </w:r>
      <w:hyperlink r:id="rId57" w:history="1">
        <w:r w:rsidRPr="002A2511">
          <w:rPr>
            <w:rStyle w:val="Hyperlink"/>
            <w:szCs w:val="24"/>
          </w:rPr>
          <w:t>https://www.fs.fed.us/pnw/lwm/aem/docs/reeves/2015_benda_etal_tree_tipping.pdf</w:t>
        </w:r>
      </w:hyperlink>
      <w:r>
        <w:rPr>
          <w:szCs w:val="24"/>
        </w:rPr>
        <w:t>. This study showed that tree-tipping mitigated for the loss of wood recruitment caused by thinning compared to no action, but the study did not look at tree tipping independently of thinning, so the cost of thinning itself remains unaccounted for in that context.</w:t>
      </w:r>
    </w:p>
    <w:p w:rsidR="004D63D8" w:rsidRDefault="004D63D8" w:rsidP="004D63D8">
      <w:pPr>
        <w:rPr>
          <w:szCs w:val="24"/>
        </w:rPr>
      </w:pPr>
    </w:p>
    <w:p w:rsidR="004D63D8" w:rsidRDefault="004D63D8" w:rsidP="004D63D8">
      <w:pPr>
        <w:ind w:left="720"/>
        <w:rPr>
          <w:szCs w:val="24"/>
        </w:rPr>
      </w:pPr>
      <w:r>
        <w:rPr>
          <w:szCs w:val="24"/>
        </w:rPr>
        <w:t xml:space="preserve">"Available research (et al., Beechie and Sibley 1997, </w:t>
      </w:r>
      <w:proofErr w:type="spellStart"/>
      <w:r>
        <w:rPr>
          <w:szCs w:val="24"/>
        </w:rPr>
        <w:t>Bilby</w:t>
      </w:r>
      <w:proofErr w:type="spellEnd"/>
      <w:r>
        <w:rPr>
          <w:szCs w:val="24"/>
        </w:rPr>
        <w:t xml:space="preserve"> and Ward 1989) indicates that trees as small as 5-6 inches in diameter can form pools in small streams. Thinning along small streams with wood deficits can significantly reduce recruitment of wood to streams (Beechie et al. 2000), and the risks of this happening appear to be significantly increased by the above management actions. [i.e. "thinning in riparian areas for all stream sizes"]</w:t>
      </w:r>
      <w:r>
        <w:rPr>
          <w:szCs w:val="24"/>
        </w:rPr>
        <w:br/>
        <w:t>...</w:t>
      </w:r>
      <w:r>
        <w:rPr>
          <w:szCs w:val="24"/>
        </w:rPr>
        <w:br/>
        <w:t xml:space="preserve">Alternatives 2 and 3 will substantially decrease the large wood contribution to fish bearing streams relative to the No-Action Alternative, and the decreases will be long-term. This is because thinning will remove wood large enough to form pools from the riparian zone (if the term large wood is defined by its ability to form pools rather than the arbitrary value of &gt;20 inches diameter) (Beechie et al. 2000)." </w:t>
      </w:r>
    </w:p>
    <w:p w:rsidR="004D63D8" w:rsidRDefault="004D63D8" w:rsidP="004D63D8">
      <w:r>
        <w:rPr>
          <w:szCs w:val="24"/>
        </w:rPr>
        <w:t xml:space="preserve">NMFS, Comments on DEIS for the WOPR dated 01-11-2008. pp 8-9, 21. </w:t>
      </w:r>
      <w:hyperlink r:id="rId58" w:history="1">
        <w:r>
          <w:rPr>
            <w:rStyle w:val="Hyperlink"/>
          </w:rPr>
          <w:t>http://www.blm.gov/or/plans/wopr/files/NOAA_comments.pdf</w:t>
        </w:r>
      </w:hyperlink>
      <w:r>
        <w:t>.</w:t>
      </w:r>
    </w:p>
    <w:p w:rsidR="004D63D8" w:rsidRDefault="004D63D8" w:rsidP="004D63D8"/>
    <w:p w:rsidR="000A4F27" w:rsidRDefault="00465AB0" w:rsidP="000A4F27">
      <w:pPr>
        <w:pStyle w:val="Heading2"/>
        <w:keepLines w:val="0"/>
        <w:numPr>
          <w:ilvl w:val="1"/>
          <w:numId w:val="0"/>
        </w:numPr>
        <w:tabs>
          <w:tab w:val="num" w:pos="0"/>
        </w:tabs>
        <w:suppressAutoHyphens/>
        <w:spacing w:before="0" w:line="240" w:lineRule="auto"/>
        <w:ind w:left="576" w:hanging="576"/>
      </w:pPr>
      <w:bookmarkStart w:id="20" w:name="_Toc176959868"/>
      <w:r>
        <w:t xml:space="preserve">The EA Needs to Consider the Effects of, and Alternatives to, </w:t>
      </w:r>
      <w:r w:rsidR="000A4F27">
        <w:t>Roads in Reserves</w:t>
      </w:r>
      <w:bookmarkEnd w:id="19"/>
      <w:bookmarkEnd w:id="20"/>
    </w:p>
    <w:p w:rsidR="00E5659E" w:rsidRDefault="00E5659E" w:rsidP="000A4F27">
      <w:r>
        <w:t xml:space="preserve">The EA asserts that restoration requires logging and logging requires roads, </w:t>
      </w:r>
      <w:r w:rsidR="00E211B8">
        <w:t xml:space="preserve">and then makes the leap of logic to conclude that </w:t>
      </w:r>
      <w:r>
        <w:t xml:space="preserve">roads </w:t>
      </w:r>
      <w:r w:rsidR="00E211B8">
        <w:t xml:space="preserve">to facilitate commercial extraction </w:t>
      </w:r>
      <w:r>
        <w:t xml:space="preserve">are </w:t>
      </w:r>
      <w:r w:rsidR="00E211B8">
        <w:t xml:space="preserve">not just </w:t>
      </w:r>
      <w:r>
        <w:t>consistent with the Northwest Forest Plan</w:t>
      </w:r>
      <w:r w:rsidR="00E211B8">
        <w:t xml:space="preserve"> goals for reserves, but a valid part of the purpose and need for a restoration within reserve land allocations</w:t>
      </w:r>
      <w:r>
        <w:t xml:space="preserve">. This </w:t>
      </w:r>
      <w:r w:rsidR="00E211B8">
        <w:t xml:space="preserve">conclusion </w:t>
      </w:r>
      <w:r>
        <w:t xml:space="preserve">is not supported by evidence or policy. </w:t>
      </w:r>
      <w:r w:rsidR="00E211B8">
        <w:t xml:space="preserve">Timber targets are not allowed within LSRs or riparian reserves. </w:t>
      </w:r>
      <w:r>
        <w:t>Restoration can be accomplished without commercial log removal and without roads, the Forest Service is just unwilling to consider such an alternative.</w:t>
      </w:r>
    </w:p>
    <w:p w:rsidR="00E5659E" w:rsidRPr="00A16201" w:rsidRDefault="00E5659E" w:rsidP="000A4F27"/>
    <w:p w:rsidR="000A4F27" w:rsidRPr="00751744" w:rsidRDefault="000A4F27" w:rsidP="000A4F27">
      <w:r w:rsidRPr="00751744">
        <w:t xml:space="preserve">“An extensive road system is in conflict with LSR objectives. </w:t>
      </w:r>
      <w:r>
        <w:t xml:space="preserve">The road network creates contrasting edges of forest habitat, fragments connecting habitat, creates barriers to species movement, and provides access and opportunities for humans to extract natural resources.” Hehe LSR Thin Decision Notice. Willamette National Forest. October 31, 2007. </w:t>
      </w:r>
      <w:hyperlink r:id="rId59" w:history="1">
        <w:r w:rsidRPr="00131C15">
          <w:rPr>
            <w:rStyle w:val="Hyperlink"/>
          </w:rPr>
          <w:t>http://www.fs.usda.gov/Internet/FSE_DOCUMENTS/stelprdb5050106.pdf</w:t>
        </w:r>
      </w:hyperlink>
      <w:r>
        <w:t xml:space="preserve"> </w:t>
      </w:r>
    </w:p>
    <w:p w:rsidR="000A4F27" w:rsidRDefault="000A4F27" w:rsidP="000A4F27"/>
    <w:p w:rsidR="000A4F27" w:rsidRDefault="00C65050" w:rsidP="000A4F27">
      <w:pPr>
        <w:pStyle w:val="Heading2"/>
        <w:keepLines w:val="0"/>
        <w:numPr>
          <w:ilvl w:val="1"/>
          <w:numId w:val="0"/>
        </w:numPr>
        <w:tabs>
          <w:tab w:val="num" w:pos="0"/>
        </w:tabs>
        <w:suppressAutoHyphens/>
        <w:spacing w:before="0" w:line="240" w:lineRule="auto"/>
        <w:ind w:left="576" w:hanging="576"/>
        <w:rPr>
          <w:szCs w:val="24"/>
        </w:rPr>
      </w:pPr>
      <w:bookmarkStart w:id="21" w:name="_Toc3557550"/>
      <w:bookmarkStart w:id="22" w:name="_Toc176959869"/>
      <w:r>
        <w:lastRenderedPageBreak/>
        <w:t xml:space="preserve">The EA needs to Consider Effects of, and Alternatives to, </w:t>
      </w:r>
      <w:r w:rsidR="000A4F27">
        <w:t>Temporary Roads</w:t>
      </w:r>
      <w:bookmarkEnd w:id="21"/>
      <w:bookmarkEnd w:id="22"/>
    </w:p>
    <w:p w:rsidR="000A4F27" w:rsidRDefault="000A4F27" w:rsidP="000A4F27">
      <w:r>
        <w:t>We urge the agency to avoid road construction, including temporary road construction. The ecological costs of road construction almost always outweigh any benefits of the associated commercial logging activity. Since an optimal landscape restoration plan includes a mix of treated and untreated areas, the agency can easily avoid road construction by co-locating untreated areas and inaccessible areas.</w:t>
      </w:r>
    </w:p>
    <w:p w:rsidR="000A4F27" w:rsidRDefault="000A4F27" w:rsidP="000A4F27"/>
    <w:p w:rsidR="000A4F27" w:rsidRDefault="000A4F27" w:rsidP="000A4F27">
      <w:r>
        <w:t>Temporary roads have many of the same impacts as permanent roads, including complete vegetation removal, severe soil disturbance and compaction, severe modification of the flow of water and air through the soil, impairment of soil biological activity, wildlife habitat fragmentation (especially for microfauna), and wildlife cover loss. In spite of the fact that some roads may only be used by heavy equipment on a temporary basis, the biophysical effects of temporary roads can be long-lasting. The FS may even come back and use these temporary roads for future vegetation management or fire management. The temporal effects of temp roads can also be extended by legal or illegal use by off highway vehicles, woodcutters, hunters, mushroom collectors, etc.</w:t>
      </w:r>
    </w:p>
    <w:p w:rsidR="000A4F27" w:rsidRDefault="000A4F27" w:rsidP="000A4F27"/>
    <w:p w:rsidR="000A4F27" w:rsidRDefault="000A4F27" w:rsidP="000A4F27">
      <w:r>
        <w:t>The November 2000 National Forest Roadless Area Conservation FEIS p 3-30 says that temporary roads are not designed and constructed to the same standard as classified roads and therefore result in a “higher risk of environmental impacts.” The NEPA analysis must account for this increased risk of temporary roads compared to permanent roads.</w:t>
      </w:r>
    </w:p>
    <w:p w:rsidR="000A4F27" w:rsidRDefault="000A4F27" w:rsidP="000A4F27"/>
    <w:p w:rsidR="000A4F27" w:rsidRDefault="000A4F27" w:rsidP="000A4F27">
      <w:r>
        <w:t>If young stand thinning requires construction of temporary roads, the agency should do an analysis that illuminates how many acres of thinning are reached by each road segment so that we can distinguish between short segments of spur that allow access to large areas (big benefit, small cost) and long spurs that access small areas (small benefit, big cost). This can help inform the decision-maker’s balancing of the costs and benefits of thinning and roading.</w:t>
      </w:r>
    </w:p>
    <w:p w:rsidR="000A4F27" w:rsidRDefault="000A4F27" w:rsidP="000A4F27"/>
    <w:p w:rsidR="000A4F27" w:rsidRDefault="000A4F27" w:rsidP="000A4F27">
      <w:r>
        <w:t>The 1994 NWFP ROD (p 68) says “Standards and guidelines for Alternative 9 require that new road construction be substantially limited. Any road construction associated with silvicultural treatments inside late-successional reserve would be subject to the overall ‘beneficial’ requirement for such activities. That is, if the value of a thinning was negated by the habitat lost through road construction to the thinning, the activity should not proceed.”</w:t>
      </w:r>
    </w:p>
    <w:p w:rsidR="000A4F27" w:rsidRDefault="000A4F27" w:rsidP="000A4F27"/>
    <w:p w:rsidR="000A4F27" w:rsidRDefault="000A4F27" w:rsidP="000A4F27">
      <w:r>
        <w:t xml:space="preserve">The Coos Bay BLM’s </w:t>
      </w:r>
      <w:proofErr w:type="spellStart"/>
      <w:r>
        <w:t>Brummit</w:t>
      </w:r>
      <w:proofErr w:type="spellEnd"/>
      <w:r>
        <w:t xml:space="preserve"> Creek Density Management EA (2005) includes a useful table showing the length of each road (new, renovated, improved), the unit acres that are accessed by each road, and the acres of unit per mile of road. This is a useful way to evaluate and prioritize road work relative the expected benefits of thinning.</w:t>
      </w:r>
    </w:p>
    <w:p w:rsidR="000A4F27" w:rsidRDefault="000A4F27" w:rsidP="000A4F27"/>
    <w:p w:rsidR="000A4F27" w:rsidRDefault="000A4F27" w:rsidP="000A4F27">
      <w:r>
        <w:t>Temporary roads still cause serious adverse impacts to soil, water and wildlife, and spread weeds. Decommissioning such roads is not entirely successful and the soil compaction effects can last for decades. The agency should consider avoiding building spurs by treating some areas non-commercially (e.g. thin lightly, create lots of snags, and leave the material on site).</w:t>
      </w:r>
    </w:p>
    <w:p w:rsidR="000A4F27" w:rsidRDefault="00497A77" w:rsidP="000A4F27">
      <w:pPr>
        <w:pStyle w:val="Heading2"/>
        <w:rPr>
          <w:szCs w:val="24"/>
        </w:rPr>
      </w:pPr>
      <w:bookmarkStart w:id="23" w:name="_Toc5886010"/>
      <w:bookmarkStart w:id="24" w:name="_Toc176959870"/>
      <w:r>
        <w:lastRenderedPageBreak/>
        <w:t>The EA Needs to Consider the Adverse Effects of Logging on H</w:t>
      </w:r>
      <w:r w:rsidR="000A4F27">
        <w:t xml:space="preserve">abitat </w:t>
      </w:r>
      <w:r>
        <w:t xml:space="preserve">Conditions </w:t>
      </w:r>
      <w:r w:rsidR="000A4F27">
        <w:t xml:space="preserve">for </w:t>
      </w:r>
      <w:r>
        <w:t>R</w:t>
      </w:r>
      <w:r w:rsidR="000A4F27">
        <w:t xml:space="preserve">aptors, like </w:t>
      </w:r>
      <w:r>
        <w:t>N</w:t>
      </w:r>
      <w:r w:rsidR="000A4F27">
        <w:t xml:space="preserve">orthern </w:t>
      </w:r>
      <w:r>
        <w:t>S</w:t>
      </w:r>
      <w:r w:rsidR="000A4F27">
        <w:t xml:space="preserve">potted </w:t>
      </w:r>
      <w:r>
        <w:t>O</w:t>
      </w:r>
      <w:r w:rsidR="000A4F27">
        <w:t>wl.</w:t>
      </w:r>
      <w:bookmarkEnd w:id="23"/>
      <w:bookmarkEnd w:id="24"/>
    </w:p>
    <w:p w:rsidR="000A4F27" w:rsidRDefault="000A4F27" w:rsidP="000A4F27">
      <w:r>
        <w:t>Logging disrupts behavior of nesting birds and could harm other aspects of their life needs. BLM has acknowledged that —</w:t>
      </w:r>
    </w:p>
    <w:p w:rsidR="000A4F27" w:rsidRDefault="000A4F27" w:rsidP="000A4F27"/>
    <w:p w:rsidR="000A4F27" w:rsidRDefault="000A4F27" w:rsidP="000A4F27">
      <w:pPr>
        <w:ind w:left="720"/>
      </w:pPr>
      <w:r>
        <w:rPr>
          <w:color w:val="000000"/>
        </w:rPr>
        <w:t>Current research has shown that spotted owls are likely to increase the size of their home ranges to utilize untreated stands in preference to newly treated stands both during and after harvest. Factors that reduce the quality of habitat within a home range or cause increased movement by owls in order to meet prey requirements may decrease the survival and reproductive fitness of owls at that site (</w:t>
      </w:r>
      <w:proofErr w:type="spellStart"/>
      <w:r>
        <w:rPr>
          <w:color w:val="000000"/>
        </w:rPr>
        <w:t>Meiman</w:t>
      </w:r>
      <w:proofErr w:type="spellEnd"/>
      <w:r>
        <w:rPr>
          <w:color w:val="000000"/>
        </w:rPr>
        <w:t xml:space="preserve"> </w:t>
      </w:r>
      <w:r>
        <w:rPr>
          <w:i/>
          <w:iCs/>
          <w:color w:val="000000"/>
        </w:rPr>
        <w:t>et al.</w:t>
      </w:r>
      <w:r>
        <w:rPr>
          <w:color w:val="000000"/>
        </w:rPr>
        <w:t>, 2003).</w:t>
      </w:r>
    </w:p>
    <w:p w:rsidR="000A4F27" w:rsidRDefault="000A4F27" w:rsidP="000A4F27">
      <w:r>
        <w:t xml:space="preserve">Roseburg BLM 2010. Third Elk EA. </w:t>
      </w:r>
      <w:hyperlink r:id="rId60" w:history="1">
        <w:r>
          <w:rPr>
            <w:rStyle w:val="Hyperlink"/>
          </w:rPr>
          <w:t>http://www.blm.gov/or/districts/roseburg/plans/files/ThirdElkEA.pdf</w:t>
        </w:r>
      </w:hyperlink>
      <w:r>
        <w:t>.</w:t>
      </w:r>
    </w:p>
    <w:p w:rsidR="000A4F27" w:rsidRDefault="000A4F27" w:rsidP="000A4F27"/>
    <w:p w:rsidR="000A4F27" w:rsidRDefault="000A4F27" w:rsidP="000A4F27">
      <w:r>
        <w:t>A radio-telemetry study in the north Coast Range of Oregon showed that thinning in 40-65 year old stands near a spotted owl pair resulted in the owl: (1) shifting habitat use patterns to avoid thinned areas, especially heavily thinned areas, (2) enlarging its home range requiring the owl to expend more energy to fulfill its life functions. Before harvest the study made 23 owl locations in the areas to be thinned, only one owl location was made in the thinned area during the harvest period, and only 8 locations were made in the thinned area after harvest. The area added to the home range after harvest was larger than the area harvest. Recognize that this study looked at only one bird and only looked at short-term effects in the first few years after thinning. Long term effects might be different, but because the effects of thinning could affect survival and reproductive success over the course of several breeding seasons, this could be significant for a Threatened species. Based on these preliminary findings, the authors said—</w:t>
      </w:r>
    </w:p>
    <w:p w:rsidR="000A4F27" w:rsidRDefault="000A4F27" w:rsidP="000A4F27">
      <w:pPr>
        <w:ind w:left="720"/>
      </w:pPr>
      <w:r>
        <w:t>We therefore recommend that thinning operations not be conducted within core use areas in this region until further research on this topic is conducted. … [W]e recommend that land managers identify the best spotted owl habitat (old conifer with multi-layered canopy and abundant snags) around the nest site and designate an area where no timber harvest activities will occur. The mean (100-ha) and maximum (250-ha) size of core use areas in the North Coast Range … should be used as guidelines for delineating reserve areas. Where forest stands are homogenous and/or the best habitat cannot be identified, an area with 600 –m radius (~115-ha) around the nest should be used.</w:t>
      </w:r>
    </w:p>
    <w:p w:rsidR="000A4F27" w:rsidRDefault="000A4F27" w:rsidP="000A4F27">
      <w:proofErr w:type="spellStart"/>
      <w:r>
        <w:t>Meiman</w:t>
      </w:r>
      <w:proofErr w:type="spellEnd"/>
      <w:r>
        <w:t xml:space="preserve">, S., R. Anthony, E. Glenn, T. Bayless, A. </w:t>
      </w:r>
      <w:proofErr w:type="spellStart"/>
      <w:r>
        <w:t>Ellingson</w:t>
      </w:r>
      <w:proofErr w:type="spellEnd"/>
      <w:r>
        <w:t>, M.C. Hansen, and C. Smith. 2003. Effects of commercial thinning on home-range and habitat-use patterns of a male spotted owl: a case study. Wildlife Society Bulletin. 2003. 31(4):1254-1262.</w:t>
      </w:r>
    </w:p>
    <w:p w:rsidR="000A4F27" w:rsidRDefault="000A4F27" w:rsidP="000A4F27"/>
    <w:p w:rsidR="000A4F27" w:rsidRDefault="000A4F27" w:rsidP="000A4F27">
      <w:r>
        <w:t xml:space="preserve">Salem BLM’s Turner Creek EA made an honest disclosure about thinning that should be acknowledged in other projects. “Overall the No Action alternative would result in much more coarse wood in the next several decades as compared to the Proposed Action which would provide better overall habitat for small mammals which in turn may benefit the spotted owl.” </w:t>
      </w:r>
      <w:hyperlink r:id="rId61" w:history="1">
        <w:r>
          <w:rPr>
            <w:rStyle w:val="Hyperlink"/>
          </w:rPr>
          <w:t>http://www.blm.gov/or/districts/salem/plans/files/TC_EA.pdf</w:t>
        </w:r>
      </w:hyperlink>
      <w:r>
        <w:t>.</w:t>
      </w:r>
    </w:p>
    <w:p w:rsidR="000A4F27" w:rsidRDefault="000A4F27" w:rsidP="000A4F27">
      <w:r>
        <w:t xml:space="preserve"> </w:t>
      </w:r>
    </w:p>
    <w:p w:rsidR="000A4F27" w:rsidRDefault="000A4F27" w:rsidP="000A4F27">
      <w:r>
        <w:t>“Snag and down woody debris are important components of spotted owl habitat … [If stands are not thinned] [e]</w:t>
      </w:r>
      <w:proofErr w:type="spellStart"/>
      <w:r>
        <w:t>ventually</w:t>
      </w:r>
      <w:proofErr w:type="spellEnd"/>
      <w:r>
        <w:t xml:space="preserve"> the stands would start to differentiate to varying degrees and show a </w:t>
      </w:r>
      <w:r>
        <w:lastRenderedPageBreak/>
        <w:t xml:space="preserve">substantial increase in the levels of snags, down wood and understory development. Where these developments occurred, they would improve the dispersal habitat characteristics ….” Mt Hood NF 2011. Huckleberry Thin EA. </w:t>
      </w:r>
      <w:hyperlink r:id="rId62" w:history="1">
        <w:r>
          <w:rPr>
            <w:rStyle w:val="Hyperlink"/>
          </w:rPr>
          <w:t>http://a123.g.akamai.net/7/123/11558/abc123/forestservic.download.akamai.com/11558/www/nepa/59590_FSPLT2_034896.pdf</w:t>
        </w:r>
      </w:hyperlink>
      <w:r>
        <w:t>.</w:t>
      </w:r>
    </w:p>
    <w:p w:rsidR="000A4F27" w:rsidRDefault="000A4F27" w:rsidP="000A4F27"/>
    <w:p w:rsidR="000A4F27" w:rsidRDefault="000A4F27" w:rsidP="000A4F27">
      <w:r>
        <w:t xml:space="preserve">Courtney (2004) summarized spotted owl habitat use studies and found positive relationships between spotted owl habitat use and several forest attributes that are </w:t>
      </w:r>
      <w:r>
        <w:rPr>
          <w:i/>
        </w:rPr>
        <w:t>detrimentally affected by thinning</w:t>
      </w:r>
      <w:r>
        <w:t xml:space="preserve">, including: canopy volume, canopy closure, snag basal area or volume, and log volume. Importantly, these relationships appear to hold true whether the owl sites were old growth or non-old growth forest. See Jim </w:t>
      </w:r>
      <w:proofErr w:type="spellStart"/>
      <w:r>
        <w:t>Thrailkill</w:t>
      </w:r>
      <w:proofErr w:type="spellEnd"/>
      <w:r>
        <w:t xml:space="preserve"> 2006. “Effects of Habitat Thinning on Northern Spotted Owls? Literature Summarized Through 2005.” Appendix F </w:t>
      </w:r>
      <w:r>
        <w:rPr>
          <w:i/>
        </w:rPr>
        <w:t>of</w:t>
      </w:r>
      <w:r>
        <w:t xml:space="preserve"> Interagency Level 1 Team, North Coast Province. 2010. Biological Assessment of Habitat Modification Projects Proposed During Fiscal Years 2011 and 2012 in the North Coast Planning Province, Oregon, that are Not Likely to Adversely Affect (NLAA) Northern Spotted Owl and Marbled Murrelets and Their Critical Habitats, April 13, 2010 (page 101). </w:t>
      </w:r>
      <w:r>
        <w:rPr>
          <w:i/>
        </w:rPr>
        <w:t>citing</w:t>
      </w:r>
      <w:r>
        <w:t xml:space="preserve"> Courtney </w:t>
      </w:r>
      <w:r>
        <w:rPr>
          <w:i/>
        </w:rPr>
        <w:t>et al</w:t>
      </w:r>
      <w:r>
        <w:t xml:space="preserve"> 2004, Scientific Evaluation of the Status of the Northern Spotted Owl, SEI, Sept 2004. </w:t>
      </w:r>
    </w:p>
    <w:p w:rsidR="000A4F27" w:rsidRDefault="000A4F27" w:rsidP="000A4F27"/>
    <w:p w:rsidR="000A4F27" w:rsidRDefault="000A4F27" w:rsidP="000A4F27">
      <w:r>
        <w:t xml:space="preserve">Other relevant findings from this </w:t>
      </w:r>
      <w:proofErr w:type="spellStart"/>
      <w:r>
        <w:t>Thrailkill</w:t>
      </w:r>
      <w:proofErr w:type="spellEnd"/>
      <w:r>
        <w:t xml:space="preserve"> white-paper include:</w:t>
      </w:r>
    </w:p>
    <w:p w:rsidR="000A4F27" w:rsidRDefault="000A4F27" w:rsidP="000A4F27">
      <w:pPr>
        <w:numPr>
          <w:ilvl w:val="0"/>
          <w:numId w:val="8"/>
        </w:numPr>
        <w:suppressAutoHyphens/>
        <w:spacing w:line="240" w:lineRule="auto"/>
      </w:pPr>
      <w:r>
        <w:t>“Snag volume is correlated with increased [spotted owl] foraging use (North 1999). (p 102)</w:t>
      </w:r>
    </w:p>
    <w:p w:rsidR="000A4F27" w:rsidRDefault="000A4F27" w:rsidP="000A4F27">
      <w:pPr>
        <w:numPr>
          <w:ilvl w:val="0"/>
          <w:numId w:val="8"/>
        </w:numPr>
        <w:suppressAutoHyphens/>
        <w:spacing w:line="240" w:lineRule="auto"/>
      </w:pPr>
      <w:r>
        <w:t>“Snag volume is important to owl foraging sites because it influences local prey abundance (Carey 1995).” (p 102)</w:t>
      </w:r>
    </w:p>
    <w:p w:rsidR="000A4F27" w:rsidRPr="00BC1711" w:rsidRDefault="000A4F27" w:rsidP="000A4F27">
      <w:pPr>
        <w:numPr>
          <w:ilvl w:val="0"/>
          <w:numId w:val="7"/>
        </w:numPr>
        <w:suppressAutoHyphens/>
        <w:spacing w:line="240" w:lineRule="auto"/>
      </w:pPr>
      <w:r w:rsidRPr="00BC1711">
        <w:t>“[S]</w:t>
      </w:r>
      <w:proofErr w:type="spellStart"/>
      <w:r w:rsidRPr="00BC1711">
        <w:t>tudies</w:t>
      </w:r>
      <w:proofErr w:type="spellEnd"/>
      <w:r w:rsidRPr="00BC1711">
        <w:t xml:space="preserve"> (Carey et al 1999) conducted in the Oregon and Washington Cascades and Coast Ranges have demonstrated a direct relationship between increasing levels of coarse wood debris (CWD) in a stand and the abundance of small mammals (e.g. northern flying squirrel) in those stands.” (p 102)</w:t>
      </w:r>
    </w:p>
    <w:p w:rsidR="000A4F27" w:rsidRDefault="000A4F27" w:rsidP="000A4F27">
      <w:pPr>
        <w:numPr>
          <w:ilvl w:val="0"/>
          <w:numId w:val="7"/>
        </w:numPr>
        <w:suppressAutoHyphens/>
        <w:spacing w:line="240" w:lineRule="auto"/>
      </w:pPr>
      <w:r w:rsidRPr="00BC1711">
        <w:t>“[T]</w:t>
      </w:r>
      <w:proofErr w:type="spellStart"/>
      <w:r w:rsidRPr="00BC1711">
        <w:t>hinning</w:t>
      </w:r>
      <w:proofErr w:type="spellEnd"/>
      <w:r w:rsidRPr="00BC1711">
        <w:t xml:space="preserve"> prescriptions should take advantage of creating conditions where coarse wood debris recruitment can be hastened.” (p 102)</w:t>
      </w:r>
    </w:p>
    <w:p w:rsidR="000A4F27" w:rsidRDefault="000A4F27" w:rsidP="000A4F27">
      <w:pPr>
        <w:pStyle w:val="NormalWeb"/>
        <w:spacing w:before="0" w:after="0"/>
      </w:pPr>
      <w:r>
        <w:t>Note: This white paper does not address new information since 2005 showing longer-term (multi-decade) adverse effects of thinning on flying squirrels and dead wood recruitment.</w:t>
      </w:r>
    </w:p>
    <w:p w:rsidR="000A4F27" w:rsidRDefault="000A4F27" w:rsidP="000A4F27"/>
    <w:p w:rsidR="000A4F27" w:rsidRDefault="000A4F27" w:rsidP="000A4F27">
      <w:r>
        <w:t>It is important to retain unthinned patches as source areas for spotted owl prey.</w:t>
      </w:r>
    </w:p>
    <w:p w:rsidR="000A4F27" w:rsidRPr="00EC317B" w:rsidRDefault="000A4F27" w:rsidP="000A4F27">
      <w:pPr>
        <w:ind w:left="720"/>
      </w:pPr>
      <w:r w:rsidRPr="00EC317B">
        <w:t xml:space="preserve">Sakai  and Noon found the highest number of woodrats in sapling and brushy pole timber (20 – 30 year old) although these stands are seldom used by spotted owls (Forsman) probably because woodrats are inaccessible to the owls.  Still these areas are a good source of woodrats dispersing out into older stands more frequented by foraging spotted owls and accessible to owls hunting along the edges where old forest meets young. </w:t>
      </w:r>
    </w:p>
    <w:p w:rsidR="000A4F27" w:rsidRPr="009A3F28" w:rsidRDefault="000A4F27" w:rsidP="000A4F27">
      <w:r>
        <w:t xml:space="preserve">Heaney, J. 2012. Workshop on spotted owl prey. </w:t>
      </w:r>
      <w:r w:rsidRPr="00EC317B">
        <w:t>Ecology of and Habitat Management for the Dusky-Footed and Bushy-Tailed Woodrat</w:t>
      </w:r>
      <w:r>
        <w:t>.</w:t>
      </w:r>
      <w:r w:rsidRPr="00EC317B">
        <w:t xml:space="preserve"> </w:t>
      </w:r>
      <w:hyperlink r:id="rId63" w:history="1">
        <w:r w:rsidRPr="00A20D4E">
          <w:rPr>
            <w:rStyle w:val="Hyperlink"/>
          </w:rPr>
          <w:t>http://ecoshare.info/wp-content/uploads/2012/08/Ecology-of-and-Habitat-Management-for-the-Dusky-Footed-woodrat.ppt</w:t>
        </w:r>
      </w:hyperlink>
      <w:r>
        <w:t xml:space="preserve"> </w:t>
      </w:r>
    </w:p>
    <w:p w:rsidR="000A4F27" w:rsidRDefault="00E17113" w:rsidP="000A4F27">
      <w:pPr>
        <w:pStyle w:val="Heading2"/>
      </w:pPr>
      <w:bookmarkStart w:id="25" w:name="_Toc5886009"/>
      <w:bookmarkStart w:id="26" w:name="_Toc176959871"/>
      <w:r>
        <w:lastRenderedPageBreak/>
        <w:t xml:space="preserve">The EA Needs to Consider the </w:t>
      </w:r>
      <w:r w:rsidR="000A4F27">
        <w:t xml:space="preserve">Thinning effects on </w:t>
      </w:r>
      <w:r>
        <w:t>F</w:t>
      </w:r>
      <w:r w:rsidR="000A4F27">
        <w:t xml:space="preserve">lying </w:t>
      </w:r>
      <w:r>
        <w:t>S</w:t>
      </w:r>
      <w:r w:rsidR="000A4F27">
        <w:t>quirrels</w:t>
      </w:r>
      <w:bookmarkEnd w:id="25"/>
      <w:bookmarkEnd w:id="26"/>
    </w:p>
    <w:p w:rsidR="000A4F27" w:rsidRDefault="000A4F27" w:rsidP="000A4F27">
      <w:r>
        <w:t xml:space="preserve">Flying squirrels are an important prey item for Northern Spotted Owls in all parts of the owl’s range. Even in SW Oregon where wood rats represent a large part of the owls diet, flying squirrels are still critically important. See Forsman, Anthony, </w:t>
      </w:r>
      <w:proofErr w:type="spellStart"/>
      <w:r>
        <w:t>Meslow</w:t>
      </w:r>
      <w:proofErr w:type="spellEnd"/>
      <w:r>
        <w:t xml:space="preserve">, </w:t>
      </w:r>
      <w:proofErr w:type="spellStart"/>
      <w:r>
        <w:t>Zabel</w:t>
      </w:r>
      <w:proofErr w:type="spellEnd"/>
      <w:r>
        <w:t xml:space="preserve">. 2004. Diets And Foraging Behavior Of Northern Spotted Owls In Oregon. Journal of Raptor Research 38(3):214-230. </w:t>
      </w:r>
      <w:hyperlink r:id="rId64" w:anchor="_blank" w:history="1">
        <w:r>
          <w:rPr>
            <w:rStyle w:val="Hyperlink"/>
          </w:rPr>
          <w:t>http://elibrary.unm.edu/sora/jrr/v038n03/p00214-p00230.pdf</w:t>
        </w:r>
      </w:hyperlink>
      <w:r>
        <w:t>. Given the importance of flying squirrels to the diet of the spotted owl, managers must ensure that thinning does not significantly reduce the flying squirrel population, but recent evidence shows that thinning does in fact lead to a multi-decade decline in the number of flying squirrels. The agencies must leave significant untreated skips in order to mitigate for this significant adverse effect.</w:t>
      </w:r>
    </w:p>
    <w:p w:rsidR="000A4F27" w:rsidRDefault="000A4F27" w:rsidP="000A4F27"/>
    <w:p w:rsidR="000A4F27" w:rsidRDefault="000A4F27" w:rsidP="000A4F27">
      <w:r>
        <w:t xml:space="preserve">The findings of this study raise questions that the Forest Service has already posed to itself: “If thinning is a treatment to promote late successional forest for spotted owls, but it reduces their primary prey base for a substantial amount of time, we may want to think differently about how we manage for flying squirrel populations across a landscape.” </w:t>
      </w:r>
      <w:r w:rsidRPr="008A2DD1">
        <w:t>Central Cascades Adap</w:t>
      </w:r>
      <w:r>
        <w:t xml:space="preserve">tive Management Partnership - </w:t>
      </w:r>
      <w:r w:rsidRPr="008A2DD1">
        <w:t xml:space="preserve">Administrative Study Portfolio </w:t>
      </w:r>
      <w:r>
        <w:t xml:space="preserve">- </w:t>
      </w:r>
      <w:r w:rsidRPr="008A2DD1">
        <w:t>Status and Funding Needs, November 2014</w:t>
      </w:r>
      <w:r>
        <w:t xml:space="preserve">. (p 3) </w:t>
      </w:r>
      <w:hyperlink r:id="rId65" w:history="1">
        <w:r w:rsidRPr="006B1F48">
          <w:rPr>
            <w:rStyle w:val="Hyperlink"/>
          </w:rPr>
          <w:t>http://ecoshare.info/projects/central-cascade-adaptive-management-partnership/study-portfolio/</w:t>
        </w:r>
      </w:hyperlink>
      <w:r>
        <w:t xml:space="preserve"> Project purposes and project alternatives need to account for this new information.  The finding that thinning reduces, for a couple decades at least, populations of flying squirrels, an important prey for spotted owls throughout their range, reinforces the importance of finding the optimal mix of thinned and unthinned areas within stands and across the landscape (not just for flying squirrels but also for dead wood recruitment and other ecological values). The agencies’ current approach does provide a mix, but NEPA analyses fail to seek or find the optimum mix.</w:t>
      </w:r>
    </w:p>
    <w:p w:rsidR="000A4F27" w:rsidRDefault="000A4F27" w:rsidP="000A4F27"/>
    <w:p w:rsidR="000A4F27" w:rsidRDefault="000A4F27" w:rsidP="000A4F27">
      <w:r>
        <w:t xml:space="preserve">Manning et al (2012) found that the thinning is adverse to both flying squirrels and snags, and these effects may be related. </w:t>
      </w:r>
    </w:p>
    <w:p w:rsidR="000A4F27" w:rsidRPr="00CF560B" w:rsidRDefault="000A4F27" w:rsidP="000A4F27">
      <w:pPr>
        <w:numPr>
          <w:ilvl w:val="0"/>
          <w:numId w:val="9"/>
        </w:numPr>
        <w:suppressAutoHyphens/>
        <w:spacing w:line="240" w:lineRule="auto"/>
      </w:pPr>
      <w:r w:rsidRPr="00CF560B">
        <w:t>Flying squirrel density positively associated with snag density</w:t>
      </w:r>
    </w:p>
    <w:p w:rsidR="000A4F27" w:rsidRPr="00CF560B" w:rsidRDefault="000A4F27" w:rsidP="000A4F27">
      <w:pPr>
        <w:numPr>
          <w:ilvl w:val="0"/>
          <w:numId w:val="9"/>
        </w:numPr>
        <w:suppressAutoHyphens/>
        <w:spacing w:line="240" w:lineRule="auto"/>
      </w:pPr>
      <w:r w:rsidRPr="00CF560B">
        <w:t>Snags rare in thinned stands</w:t>
      </w:r>
    </w:p>
    <w:p w:rsidR="000A4F27" w:rsidRDefault="000A4F27" w:rsidP="000A4F27">
      <w:pPr>
        <w:numPr>
          <w:ilvl w:val="0"/>
          <w:numId w:val="9"/>
        </w:numPr>
        <w:suppressAutoHyphens/>
        <w:spacing w:line="240" w:lineRule="auto"/>
      </w:pPr>
      <w:r w:rsidRPr="00CF560B">
        <w:t>Thinning causes decrease in density-dependent mortality</w:t>
      </w:r>
    </w:p>
    <w:p w:rsidR="000A4F27" w:rsidRDefault="000A4F27" w:rsidP="006D49C6">
      <w:pPr>
        <w:ind w:left="720"/>
      </w:pPr>
      <w:r>
        <w:t>…</w:t>
      </w:r>
    </w:p>
    <w:p w:rsidR="000A4F27" w:rsidRPr="00CF560B" w:rsidRDefault="000A4F27" w:rsidP="000A4F27">
      <w:pPr>
        <w:numPr>
          <w:ilvl w:val="0"/>
          <w:numId w:val="9"/>
        </w:numPr>
        <w:suppressAutoHyphens/>
        <w:spacing w:line="240" w:lineRule="auto"/>
      </w:pPr>
      <w:r w:rsidRPr="00CF560B">
        <w:t>Canopy gaps = exposure to predators</w:t>
      </w:r>
    </w:p>
    <w:p w:rsidR="000A4F27" w:rsidRPr="00CF560B" w:rsidRDefault="000A4F27" w:rsidP="000A4F27">
      <w:pPr>
        <w:numPr>
          <w:ilvl w:val="0"/>
          <w:numId w:val="9"/>
        </w:numPr>
        <w:suppressAutoHyphens/>
        <w:spacing w:line="240" w:lineRule="auto"/>
      </w:pPr>
      <w:r w:rsidRPr="00CF560B">
        <w:t>Tree trunks = safety</w:t>
      </w:r>
    </w:p>
    <w:p w:rsidR="000A4F27" w:rsidRPr="00CF560B" w:rsidRDefault="000A4F27" w:rsidP="000A4F27">
      <w:r w:rsidRPr="00CF560B">
        <w:t>Tom Manni</w:t>
      </w:r>
      <w:r>
        <w:t xml:space="preserve">ng, Joan Hagar, Brenda </w:t>
      </w:r>
      <w:proofErr w:type="spellStart"/>
      <w:r>
        <w:t>McComb</w:t>
      </w:r>
      <w:proofErr w:type="spellEnd"/>
      <w:r>
        <w:t xml:space="preserve"> 2012 spotted owl prey workshop. </w:t>
      </w:r>
      <w:r w:rsidRPr="00CF560B">
        <w:t>Flying Squirrel Response to Thinning in the Oregon Cascades</w:t>
      </w:r>
      <w:r>
        <w:t xml:space="preserve">. </w:t>
      </w:r>
      <w:hyperlink r:id="rId66" w:history="1">
        <w:r w:rsidRPr="00A20D4E">
          <w:rPr>
            <w:rStyle w:val="Hyperlink"/>
          </w:rPr>
          <w:t>http://ecoshare.info/wp-content/uploads/2012/08/Commercial-thinning_flying-squirrels.ppt</w:t>
        </w:r>
      </w:hyperlink>
      <w:r>
        <w:t xml:space="preserve">; </w:t>
      </w:r>
      <w:hyperlink r:id="rId67" w:history="1">
        <w:r w:rsidRPr="00A20D4E">
          <w:rPr>
            <w:rStyle w:val="Hyperlink"/>
          </w:rPr>
          <w:t>http://ecoshare.info/projects/central-cascade-adaptive-management-partnership/workshops/spotted-owl/</w:t>
        </w:r>
      </w:hyperlink>
      <w:r>
        <w:t>.</w:t>
      </w:r>
    </w:p>
    <w:p w:rsidR="000A4F27" w:rsidRDefault="000A4F27" w:rsidP="000A4F27"/>
    <w:p w:rsidR="000A4F27" w:rsidRDefault="000A4F27" w:rsidP="000A4F27">
      <w:r>
        <w:t>Wilson &amp; Forsman 2013 state (“thinning reduces the abundance of some tree-dwelling rodents, especially Northern Flying Squirrels (</w:t>
      </w:r>
      <w:proofErr w:type="spellStart"/>
      <w:r>
        <w:t>Glaucomys</w:t>
      </w:r>
      <w:proofErr w:type="spellEnd"/>
      <w:r>
        <w:t xml:space="preserve"> </w:t>
      </w:r>
      <w:proofErr w:type="spellStart"/>
      <w:r>
        <w:t>sabrinus</w:t>
      </w:r>
      <w:proofErr w:type="spellEnd"/>
      <w:r>
        <w:t>) and Red Tree Voles (</w:t>
      </w:r>
      <w:proofErr w:type="spellStart"/>
      <w:r>
        <w:t>Arborimus</w:t>
      </w:r>
      <w:proofErr w:type="spellEnd"/>
      <w:r>
        <w:t xml:space="preserve"> </w:t>
      </w:r>
      <w:proofErr w:type="spellStart"/>
      <w:r>
        <w:t>longicaudus</w:t>
      </w:r>
      <w:proofErr w:type="spellEnd"/>
      <w:r>
        <w:t>), that are important prey species for Northern Spotted Owls (</w:t>
      </w:r>
      <w:proofErr w:type="spellStart"/>
      <w:r>
        <w:t>Strix</w:t>
      </w:r>
      <w:proofErr w:type="spellEnd"/>
      <w:r>
        <w:t xml:space="preserve"> </w:t>
      </w:r>
      <w:proofErr w:type="spellStart"/>
      <w:r>
        <w:t>occidentalis</w:t>
      </w:r>
      <w:proofErr w:type="spellEnd"/>
      <w:r>
        <w:t xml:space="preserve"> </w:t>
      </w:r>
      <w:proofErr w:type="spellStart"/>
      <w:r>
        <w:t>caurina</w:t>
      </w:r>
      <w:proofErr w:type="spellEnd"/>
      <w:r>
        <w:t xml:space="preserve">).” Wilson, Todd M.; Forsman, Eric D. 2013. Thinning effects on spotted owl prey and other forest-dwelling small mammals. In: Anderson, Paul D.; </w:t>
      </w:r>
      <w:proofErr w:type="spellStart"/>
      <w:r>
        <w:t>Ronnenberg</w:t>
      </w:r>
      <w:proofErr w:type="spellEnd"/>
      <w:r>
        <w:t xml:space="preserve">, Kathryn L., eds. Density management for the 21st Century: west side story. Gen. Tech. Rep. PNW-GTR-880. </w:t>
      </w:r>
      <w:r>
        <w:lastRenderedPageBreak/>
        <w:t>Portland, OR: U.S. Department of Agriculture, Forest Service, Pacific Northwest Research Station: 79–90.</w:t>
      </w:r>
    </w:p>
    <w:p w:rsidR="000A4F27" w:rsidRDefault="000A4F27" w:rsidP="000A4F27"/>
    <w:p w:rsidR="000A4F27" w:rsidRDefault="000A4F27" w:rsidP="000A4F27">
      <w:r>
        <w:t xml:space="preserve">“Management strategies that involve tree removal, even ones designed to have positive long-term ecological effects, almost always result in reduced squirrel populations. A squirrel-predation connection explains this phenomena …” Wilson, T. 2010. Forest structure is a good indicator of flying squirrel habitat. </w:t>
      </w:r>
      <w:r>
        <w:rPr>
          <w:i/>
        </w:rPr>
        <w:t>In</w:t>
      </w:r>
      <w:r>
        <w:t xml:space="preserve"> </w:t>
      </w:r>
      <w:proofErr w:type="spellStart"/>
      <w:r>
        <w:t>Mazza</w:t>
      </w:r>
      <w:proofErr w:type="spellEnd"/>
      <w:r>
        <w:t xml:space="preserve">, Rhonda 2010. 2010 Science Accomplishments Report of the Pacific Northwest Research Station. Portland, OR: U.S. Department of Agriculture, Forest Service, Pacific Northwest Research Station. 88 p. </w:t>
      </w:r>
      <w:hyperlink r:id="rId68" w:history="1">
        <w:r>
          <w:rPr>
            <w:rStyle w:val="Hyperlink"/>
          </w:rPr>
          <w:t>http://www.treesearch.fs.fed.us/pubs/37383</w:t>
        </w:r>
      </w:hyperlink>
      <w:r>
        <w:t>.</w:t>
      </w:r>
    </w:p>
    <w:p w:rsidR="000A4F27" w:rsidRDefault="000A4F27" w:rsidP="000A4F27"/>
    <w:p w:rsidR="000A4F27" w:rsidRDefault="000A4F27" w:rsidP="000A4F27">
      <w:r>
        <w:t xml:space="preserve">Twenty years after the spotted owl was listed, there remains an unfortunate dearth of information about the effects of thinning and fuel reduction logging on spotted owls and their prey. There is however, some new information from Andy Carey &amp; Todd Wilson's long-term study of the effects of thinning on flying squirrels at Fort Lewis. On Jan 19, 2011 Todd Wilson gave a presentation in Corvallis </w:t>
      </w:r>
      <w:hyperlink r:id="rId69" w:anchor="_blank" w:history="1">
        <w:r>
          <w:rPr>
            <w:rStyle w:val="Hyperlink"/>
          </w:rPr>
          <w:t>on flying squirrels</w:t>
        </w:r>
      </w:hyperlink>
      <w:r>
        <w:t xml:space="preserve">. </w:t>
      </w:r>
      <w:hyperlink r:id="rId70" w:history="1">
        <w:r>
          <w:rPr>
            <w:rStyle w:val="Hyperlink"/>
          </w:rPr>
          <w:t>http://calendar.oregonstate.edu/event/49175/</w:t>
        </w:r>
      </w:hyperlink>
      <w:r>
        <w:t xml:space="preserve"> and the effects of thinning. </w:t>
      </w:r>
      <w:r>
        <w:br/>
      </w:r>
      <w:r>
        <w:br/>
        <w:t>When collecting baseline data in among the young stands in the Fort Lewis study, Andy Carey and Wilson found that stands which had been previously thinned had fewer flying squirrels than those that had not been thinned. After another round of thinning, preliminary results from a few years post-thinning indicated that flying squirrel populations initially declined after thinning, but at the time (a few years ago) they seemed to be rebounding. Now the longer data set shows that the rebound was part of a temporary fluctuation, and the long-term trend shows that the squirrel population continued to decline and remains at very low levels almost two decades after thinning.</w:t>
      </w:r>
    </w:p>
    <w:p w:rsidR="000A4F27" w:rsidRDefault="000A4F27" w:rsidP="000A4F27"/>
    <w:p w:rsidR="000A4F27" w:rsidRDefault="0054102F" w:rsidP="000A4F27">
      <w:pPr>
        <w:pStyle w:val="Heading2"/>
        <w:keepLines w:val="0"/>
        <w:numPr>
          <w:ilvl w:val="1"/>
          <w:numId w:val="0"/>
        </w:numPr>
        <w:tabs>
          <w:tab w:val="num" w:pos="0"/>
        </w:tabs>
        <w:suppressAutoHyphens/>
        <w:spacing w:before="0" w:line="240" w:lineRule="auto"/>
        <w:ind w:left="576" w:hanging="576"/>
        <w:rPr>
          <w:szCs w:val="24"/>
        </w:rPr>
      </w:pPr>
      <w:bookmarkStart w:id="27" w:name="_Toc5886023"/>
      <w:bookmarkStart w:id="28" w:name="_Toc176959872"/>
      <w:r>
        <w:t xml:space="preserve">The Forest Service Needs to Minimize and Mitigate </w:t>
      </w:r>
      <w:bookmarkEnd w:id="27"/>
      <w:r>
        <w:t>the Adverse Effects of Logging on Dead and Down Wood</w:t>
      </w:r>
      <w:bookmarkEnd w:id="28"/>
    </w:p>
    <w:p w:rsidR="000A4F27" w:rsidRDefault="000A4F27" w:rsidP="000A4F27"/>
    <w:p w:rsidR="007014E5" w:rsidRDefault="007014E5" w:rsidP="000A4F27">
      <w:pPr>
        <w:rPr>
          <w:lang w:val="en-US"/>
        </w:rPr>
      </w:pPr>
      <w:r>
        <w:t>The EA (p 6) admits that snags and dead wood are important components of Late Successional Reserve habitat, and should be a focus of silvicultural treatments in reserves. Unfortunately, the EA fails to take a hard look at fact that logging is NOT beneficial, but is in fact ADVERSE to restoration of snags and down wood habitat. The EA says “</w:t>
      </w:r>
      <w:r w:rsidRPr="007014E5">
        <w:rPr>
          <w:lang w:val="en-US"/>
        </w:rPr>
        <w:t>The LSRA assessment recommends treatments that would set managed stands on a trajectory at an accelerated rate to meet the snag and downed wood levels found in mature and old-growth stands</w:t>
      </w:r>
      <w:r>
        <w:rPr>
          <w:lang w:val="en-US"/>
        </w:rPr>
        <w:t>.” But logging will NOT accelerate desired conditions for snags and down wood. It will retard those desired conditions.</w:t>
      </w:r>
      <w:r w:rsidR="00F7068F">
        <w:rPr>
          <w:lang w:val="en-US"/>
        </w:rPr>
        <w:t xml:space="preserve"> Snag creation and tree tipping might partially and temporarily mitigate for the reduction in wood recruitment caused by logging, but it does nothing to address the long-term adverse effects of exporting large numbers of potential habitat trees off-site. The adverse effects of this project will add to the cumulative effects of past clearcutting which were also adverse to dead wood habitat. Figures 3-6 in the EA compare the current and historic levels of dead wood habitat, but the EA fails to fulfill NEPA by showing the levels of dead wood </w:t>
      </w:r>
      <w:r w:rsidR="00F7068F" w:rsidRPr="00F7068F">
        <w:rPr>
          <w:i/>
          <w:lang w:val="en-US"/>
        </w:rPr>
        <w:t>with</w:t>
      </w:r>
      <w:r w:rsidR="00F7068F">
        <w:rPr>
          <w:lang w:val="en-US"/>
        </w:rPr>
        <w:t xml:space="preserve"> and </w:t>
      </w:r>
      <w:r w:rsidR="00F7068F" w:rsidRPr="00F7068F">
        <w:rPr>
          <w:i/>
          <w:lang w:val="en-US"/>
        </w:rPr>
        <w:t>without</w:t>
      </w:r>
      <w:r w:rsidR="00F7068F">
        <w:rPr>
          <w:lang w:val="en-US"/>
        </w:rPr>
        <w:t xml:space="preserve"> logging, e.g. alternatives analysis.</w:t>
      </w:r>
    </w:p>
    <w:p w:rsidR="00A2626A" w:rsidRDefault="00A2626A" w:rsidP="000A4F27">
      <w:pPr>
        <w:rPr>
          <w:lang w:val="en-US"/>
        </w:rPr>
      </w:pPr>
    </w:p>
    <w:p w:rsidR="00A2626A" w:rsidRPr="00AD6040" w:rsidRDefault="00A2626A" w:rsidP="00312B6F">
      <w:r>
        <w:rPr>
          <w:lang w:val="en-US"/>
        </w:rPr>
        <w:t>The EA says “</w:t>
      </w:r>
      <w:r w:rsidRPr="00A2626A">
        <w:rPr>
          <w:lang w:val="en-US"/>
        </w:rPr>
        <w:t>Thinning and gap creation would also likely lead to the accelerated creation of larger naturally created snags over the long-term</w:t>
      </w:r>
      <w:r w:rsidR="00312B6F">
        <w:rPr>
          <w:lang w:val="en-US"/>
        </w:rPr>
        <w:t xml:space="preserve"> … [and] </w:t>
      </w:r>
      <w:r w:rsidR="00312B6F" w:rsidRPr="00312B6F">
        <w:rPr>
          <w:lang w:val="en-US"/>
        </w:rPr>
        <w:t>(Refer to Figure 3, Figure 4, Figure 5,</w:t>
      </w:r>
      <w:r w:rsidR="00312B6F">
        <w:rPr>
          <w:lang w:val="en-US"/>
        </w:rPr>
        <w:t xml:space="preserve"> </w:t>
      </w:r>
      <w:r w:rsidR="00312B6F" w:rsidRPr="00312B6F">
        <w:rPr>
          <w:lang w:val="en-US"/>
        </w:rPr>
        <w:t>and Figure 6 above), the current presence of higher densities of snags and down wood are diminished compared to reference conditions, and thinning treatments would help address this deficiency,</w:t>
      </w:r>
      <w:r>
        <w:rPr>
          <w:lang w:val="en-US"/>
        </w:rPr>
        <w:t xml:space="preserve">” This is not supported by the evidence provide in our scoping comments which clearly shows that logging is not beneficial but adverse to snag habitat. </w:t>
      </w:r>
      <w:r w:rsidR="00312B6F">
        <w:t xml:space="preserve">The EA analysis of this issue not only gets the effects analysis wrong by a few degrees, it gets draws conclusions that are 180 degrees opposed to reality. </w:t>
      </w:r>
      <w:r>
        <w:rPr>
          <w:lang w:val="en-US"/>
        </w:rPr>
        <w:t xml:space="preserve">For instance, </w:t>
      </w:r>
      <w:proofErr w:type="spellStart"/>
      <w:r>
        <w:rPr>
          <w:lang w:val="en-US"/>
        </w:rPr>
        <w:t>t</w:t>
      </w:r>
      <w:r>
        <w:t>he</w:t>
      </w:r>
      <w:proofErr w:type="spellEnd"/>
      <w:r>
        <w:t xml:space="preserve"> graph below from the Curran </w:t>
      </w:r>
      <w:proofErr w:type="spellStart"/>
      <w:r>
        <w:t>Junetta</w:t>
      </w:r>
      <w:proofErr w:type="spellEnd"/>
      <w:r>
        <w:t xml:space="preserve"> Thin EA (on the Cottage Grove Ranger District of the Umpqua NF) shows that typical thinning prescriptions delays by more than 60 years the attainment of habitat objectives for large snags</w:t>
      </w:r>
      <w:r w:rsidR="008742CC">
        <w:t>.</w:t>
      </w:r>
      <w:r>
        <w:t xml:space="preserve"> </w:t>
      </w:r>
      <w:r w:rsidR="008742CC">
        <w:t xml:space="preserve">And, </w:t>
      </w:r>
      <w:r w:rsidR="00312B6F">
        <w:t>for reserve land allocations</w:t>
      </w:r>
      <w:r w:rsidR="008742CC">
        <w:t xml:space="preserve"> like those in this project</w:t>
      </w:r>
      <w:r w:rsidR="00312B6F">
        <w:t>, the</w:t>
      </w:r>
      <w:r w:rsidR="008742CC">
        <w:t xml:space="preserve"> goal should be the</w:t>
      </w:r>
      <w:r w:rsidR="00312B6F">
        <w:t xml:space="preserve"> </w:t>
      </w:r>
      <w:r w:rsidR="008742CC">
        <w:t xml:space="preserve">top of </w:t>
      </w:r>
      <w:r>
        <w:t>the gray band representing 80% tolerance level</w:t>
      </w:r>
      <w:r w:rsidR="008742CC">
        <w:t>s, which would mean that thinning virtually precludes attainment of snag habitat goals until a new cohort of understory trees grows large, e.g., 100+ years</w:t>
      </w:r>
      <w:r>
        <w:t>).</w:t>
      </w:r>
      <w:r w:rsidR="00312B6F">
        <w:t xml:space="preserve"> </w:t>
      </w:r>
    </w:p>
    <w:p w:rsidR="00A2626A" w:rsidRDefault="00A2626A" w:rsidP="00A2626A">
      <w:pPr>
        <w:rPr>
          <w:szCs w:val="24"/>
        </w:rPr>
      </w:pPr>
    </w:p>
    <w:p w:rsidR="00A2626A" w:rsidRDefault="00A2626A" w:rsidP="00A2626A">
      <w:pPr>
        <w:pStyle w:val="NormalWeb"/>
        <w:spacing w:before="0" w:after="0"/>
        <w:ind w:left="720"/>
      </w:pPr>
      <w:r w:rsidRPr="007E4E3A">
        <w:rPr>
          <w:noProof/>
          <w:lang w:eastAsia="en-US"/>
        </w:rPr>
        <w:drawing>
          <wp:inline distT="0" distB="0" distL="0" distR="0">
            <wp:extent cx="4251960" cy="20802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251960" cy="2080260"/>
                    </a:xfrm>
                    <a:prstGeom prst="rect">
                      <a:avLst/>
                    </a:prstGeom>
                    <a:solidFill>
                      <a:srgbClr val="FFFFFF"/>
                    </a:solidFill>
                    <a:ln>
                      <a:noFill/>
                    </a:ln>
                  </pic:spPr>
                </pic:pic>
              </a:graphicData>
            </a:graphic>
          </wp:inline>
        </w:drawing>
      </w:r>
    </w:p>
    <w:p w:rsidR="00A2626A" w:rsidRDefault="00A2626A" w:rsidP="00A2626A">
      <w:pPr>
        <w:pStyle w:val="NormalWeb"/>
        <w:spacing w:before="0" w:after="0"/>
        <w:ind w:left="720"/>
      </w:pPr>
    </w:p>
    <w:p w:rsidR="007014E5" w:rsidRDefault="00A2626A" w:rsidP="00A2626A">
      <w:hyperlink r:id="rId72" w:history="1">
        <w:r w:rsidRPr="00A50A16">
          <w:rPr>
            <w:rStyle w:val="Hyperlink"/>
          </w:rPr>
          <w:t>https://usfs-public.app.box.com/v/PinyonPublic/folder/158152590920</w:t>
        </w:r>
      </w:hyperlink>
      <w:r>
        <w:t>.</w:t>
      </w:r>
    </w:p>
    <w:p w:rsidR="00A2626A" w:rsidRDefault="00A2626A" w:rsidP="00A2626A"/>
    <w:p w:rsidR="000A4F27" w:rsidRDefault="000A4F27" w:rsidP="000A4F27">
      <w:pPr>
        <w:ind w:left="720"/>
      </w:pPr>
      <w:r>
        <w:t>“Two common consequences of conventional thinning practices have been increased uniformity of forest structure and composition, and removal or delay in the development of dead wood as snags or down wood to meet decadence and habitat functions. … Over the past several decades our ecological understanding of decadence and its importance to habitat and biogeochemical processes has increased substantially, but translation of the fundamental knowledge into coherent goals is lagging.”</w:t>
      </w:r>
    </w:p>
    <w:p w:rsidR="000A4F27" w:rsidRDefault="000A4F27" w:rsidP="000A4F27">
      <w:pPr>
        <w:pStyle w:val="NormalWeb"/>
        <w:spacing w:before="0" w:after="0"/>
      </w:pPr>
      <w:r>
        <w:t xml:space="preserve">Paul D. Anderson 2013. </w:t>
      </w:r>
      <w:r>
        <w:rPr>
          <w:szCs w:val="20"/>
        </w:rPr>
        <w:t xml:space="preserve">Two Decades of Learning about Thinning in the Ecosystem Management Era. </w:t>
      </w:r>
      <w:hyperlink r:id="rId73" w:history="1">
        <w:r>
          <w:rPr>
            <w:rStyle w:val="Hyperlink"/>
          </w:rPr>
          <w:t>http://www.fs.fed.us/pnw/pubs/pnw_gtr880/pnw_gtr880_001.pdf</w:t>
        </w:r>
      </w:hyperlink>
      <w:r>
        <w:t xml:space="preserve"> in Density Management in the 21st Century: West Side Story PNW-GTR-880. </w:t>
      </w:r>
      <w:hyperlink r:id="rId74" w:history="1">
        <w:r>
          <w:rPr>
            <w:rStyle w:val="Hyperlink"/>
            <w:szCs w:val="20"/>
          </w:rPr>
          <w:t>http://www.treesearch.fs.fed.us/pubs/44695</w:t>
        </w:r>
      </w:hyperlink>
    </w:p>
    <w:p w:rsidR="000A4F27" w:rsidRDefault="000A4F27" w:rsidP="000A4F27"/>
    <w:p w:rsidR="000A4F27" w:rsidRDefault="000A4F27" w:rsidP="000A4F27">
      <w:pPr>
        <w:ind w:left="720"/>
      </w:pPr>
      <w:r>
        <w:t xml:space="preserve">“Many species in the Pacific Northwest evolved to use large snags and logs that were historically abundant in the landscape. If snags and logs are lost, biodiversity can be affected and potentially cause a loss of some function in the landscape such as control of forest insects.” </w:t>
      </w:r>
    </w:p>
    <w:p w:rsidR="000A4F27" w:rsidRDefault="000A4F27" w:rsidP="000A4F27">
      <w:r>
        <w:lastRenderedPageBreak/>
        <w:t xml:space="preserve">Mt Hood NF 2011. Huckleberry Thin EA. </w:t>
      </w:r>
      <w:hyperlink r:id="rId75" w:history="1">
        <w:r>
          <w:rPr>
            <w:rStyle w:val="Hyperlink"/>
          </w:rPr>
          <w:t>http://a123.g.akamai.net/7/123/11558/abc123/forestservic.download.akamai.com/11558/www/nepa/59590_FSPLT2_034896.pdf</w:t>
        </w:r>
      </w:hyperlink>
      <w:r>
        <w:t>.</w:t>
      </w:r>
    </w:p>
    <w:p w:rsidR="000A4F27" w:rsidRDefault="000A4F27" w:rsidP="000A4F27"/>
    <w:p w:rsidR="000A4F27" w:rsidRDefault="000A4F27" w:rsidP="000A4F27">
      <w:pPr>
        <w:ind w:left="720"/>
      </w:pPr>
      <w:r>
        <w:t xml:space="preserve">Many animals in Douglas fir forests are strongly associated with habitat features that are best developed in natural forest, such as large trees, snags, and downed logs. The diversity and density of cavity-nesting birds, for example, are positively correlated with the abundance of snags, especially tall and/or large-diameter snags (Nelson 1988, </w:t>
      </w:r>
      <w:proofErr w:type="spellStart"/>
      <w:r>
        <w:t>Zarnowitz</w:t>
      </w:r>
      <w:proofErr w:type="spellEnd"/>
      <w:r>
        <w:t xml:space="preserve"> and </w:t>
      </w:r>
      <w:proofErr w:type="spellStart"/>
      <w:r>
        <w:t>Manuwal</w:t>
      </w:r>
      <w:proofErr w:type="spellEnd"/>
      <w:r>
        <w:t xml:space="preserve"> 1985).</w:t>
      </w:r>
    </w:p>
    <w:p w:rsidR="000A4F27" w:rsidRDefault="000A4F27" w:rsidP="000A4F27">
      <w:pPr>
        <w:ind w:left="720"/>
      </w:pPr>
      <w:r>
        <w:t>…</w:t>
      </w:r>
    </w:p>
    <w:p w:rsidR="000A4F27" w:rsidRDefault="000A4F27" w:rsidP="000A4F27">
      <w:pPr>
        <w:ind w:left="720"/>
      </w:pPr>
      <w:r>
        <w:t>It is the cycle of structural development through plant growth, and the retention of structural complexity via legacy, that characterizes natural forests in the Coastal Northwest. Intensive wood production practices may alter this cycle both by truncating succession before large structures develop and by removing most existing structures during harvest. Planting and thinning may further promote uniformity in tree species, size, and spacing.</w:t>
      </w:r>
    </w:p>
    <w:p w:rsidR="000A4F27" w:rsidRDefault="000A4F27" w:rsidP="000A4F27">
      <w:pPr>
        <w:ind w:left="720"/>
      </w:pPr>
      <w:r>
        <w:t>…</w:t>
      </w:r>
    </w:p>
    <w:p w:rsidR="000A4F27" w:rsidRDefault="000A4F27" w:rsidP="000A4F27">
      <w:pPr>
        <w:ind w:left="720"/>
      </w:pPr>
      <w:r>
        <w:t>Studies in unmanaged forests teach us that natural disturbance maintains structural complexity within stands and that this complexity promotes plant and animal diversity.</w:t>
      </w:r>
    </w:p>
    <w:p w:rsidR="000A4F27" w:rsidRDefault="000A4F27" w:rsidP="000A4F27">
      <w:pPr>
        <w:ind w:left="720"/>
      </w:pPr>
      <w:r>
        <w:t>…</w:t>
      </w:r>
    </w:p>
    <w:p w:rsidR="000A4F27" w:rsidRDefault="000A4F27" w:rsidP="000A4F27">
      <w:pPr>
        <w:ind w:left="720"/>
      </w:pPr>
      <w:r>
        <w:t>Until it is clear that forests managed for wood production can be made suitable for native species, managers should consider retaining within managed forests representative tracts of all natural forest stages, not just old growth.</w:t>
      </w:r>
    </w:p>
    <w:p w:rsidR="000A4F27" w:rsidRDefault="000A4F27" w:rsidP="000A4F27">
      <w:r>
        <w:t xml:space="preserve">Hansen, A. J.; Spies, T. A.; Swanson, F. J.; </w:t>
      </w:r>
      <w:proofErr w:type="spellStart"/>
      <w:r>
        <w:t>Ohmann</w:t>
      </w:r>
      <w:proofErr w:type="spellEnd"/>
      <w:r>
        <w:t xml:space="preserve">, T. L. 1991. Conserving biodiversity in managed forests - Lessons from natural forests. </w:t>
      </w:r>
      <w:proofErr w:type="spellStart"/>
      <w:r>
        <w:t>BioScience</w:t>
      </w:r>
      <w:proofErr w:type="spellEnd"/>
      <w:r>
        <w:t xml:space="preserve"> 41(6):382- 392. </w:t>
      </w:r>
      <w:hyperlink r:id="rId76" w:history="1">
        <w:r>
          <w:rPr>
            <w:rStyle w:val="Hyperlink"/>
          </w:rPr>
          <w:t>http://www.montana.edu/hansen/documents/downloadables/hansenetal1991.pdf</w:t>
        </w:r>
      </w:hyperlink>
      <w:r>
        <w:t>.</w:t>
      </w:r>
    </w:p>
    <w:p w:rsidR="000A4F27" w:rsidRDefault="000A4F27" w:rsidP="000A4F27"/>
    <w:p w:rsidR="000A4F27" w:rsidRDefault="000A4F27" w:rsidP="000A4F27">
      <w:r>
        <w:t xml:space="preserve">“Dead wood in the form of snags and downed logs is generally common or abundant. Although a notable part of old-growth stands, such material is actually common in unmanaged stands in all successional stages in the Douglas-fir region.” Franklin &amp; Spies 1983. CHARACTERISTICS OF OLD-GROWTH DOUGLAS-FIR FORESTS. Reprinted New Forests for a Changing World. Proceedings of the 1983 SAF National Convention </w:t>
      </w:r>
      <w:hyperlink r:id="rId77" w:history="1">
        <w:r>
          <w:rPr>
            <w:rStyle w:val="Hyperlink"/>
          </w:rPr>
          <w:t>http://andrewsforest.oregonstate.edu/pubs/pdf/pub120.pdf</w:t>
        </w:r>
      </w:hyperlink>
    </w:p>
    <w:p w:rsidR="000A4F27" w:rsidRDefault="000A4F27" w:rsidP="000A4F27"/>
    <w:p w:rsidR="000A4F27" w:rsidRDefault="000A4F27" w:rsidP="000A4F27">
      <w:pPr>
        <w:pStyle w:val="BodyTextIndent"/>
      </w:pPr>
      <w:r>
        <w:t>Many natural young and mature stands have some of the attributes of old-growth stands that may not be present in young, managed stands. Perhaps the greatest difference between natural and managed stands is the lower number and volume of large snags and logs in managed plantations (Spies and Cline 1988). Many young natural forests less than 80 years old have high amounts of carry-over of woody debris...</w:t>
      </w:r>
    </w:p>
    <w:p w:rsidR="000A4F27" w:rsidRDefault="000A4F27" w:rsidP="000A4F27">
      <w:pPr>
        <w:pStyle w:val="BodyTextIndent"/>
        <w:ind w:left="0"/>
      </w:pPr>
      <w:r>
        <w:t xml:space="preserve">Thomas A. Spies and Jerry F. Franklin 1991. The Structure of Natural Young, Mature, and Old-Growth Douglas-Fir Forests in Oregon and Washington </w:t>
      </w:r>
      <w:r>
        <w:rPr>
          <w:i/>
        </w:rPr>
        <w:t>in</w:t>
      </w:r>
      <w:r>
        <w:t xml:space="preserve"> Leonard F. Ruggiero, Keith B. </w:t>
      </w:r>
      <w:proofErr w:type="spellStart"/>
      <w:r>
        <w:t>Aubry</w:t>
      </w:r>
      <w:proofErr w:type="spellEnd"/>
      <w:r>
        <w:t xml:space="preserve">, Andrew B. Carey, and Mark H. Huff, technical editors 1991. Wildlife and Vegetation of Unmanaged Douglas-Fir Forests. General Technical Report PNW-GTR-285. </w:t>
      </w:r>
      <w:hyperlink r:id="rId78" w:history="1">
        <w:r>
          <w:rPr>
            <w:rStyle w:val="Hyperlink"/>
          </w:rPr>
          <w:t>http://www.fs.fed.us/pnw/pubs/gtr285/</w:t>
        </w:r>
      </w:hyperlink>
      <w:r>
        <w:t>.</w:t>
      </w:r>
    </w:p>
    <w:p w:rsidR="000A4F27" w:rsidRDefault="000A4F27" w:rsidP="000A4F27"/>
    <w:p w:rsidR="000A4F27" w:rsidRDefault="000A4F27" w:rsidP="000A4F27">
      <w:r>
        <w:lastRenderedPageBreak/>
        <w:t>The NEPA analysis should help illuminate trade-off between snag quality (snag size) and snag quantity (number of snags) that follows from the choice between thinning and not thinning. This critically important trade-off may be amenable to quantitative analysis if the agency would conduct a stand simulation model. This is one of the key functions of NEPA to illuminate the consequences of alternative management approaches. With respect to dead wood habitat, what mix of treated and untreated areas will result in the best mix of thinned areas with later-fewer-larger snags, and unlogged areas where dead wood recruitment is more rapid, more abundant, only slightly smaller?</w:t>
      </w:r>
    </w:p>
    <w:p w:rsidR="000A4F27" w:rsidRDefault="000A4F27" w:rsidP="000A4F27"/>
    <w:p w:rsidR="000A4F27" w:rsidRDefault="000A4F27" w:rsidP="000A4F27">
      <w:r>
        <w:t>Thinning is often presumed to accelerate attainment of multiple attributes of mature &amp; old-growth forests. This is partially true. Thinning does accelerate the growth rate of the trees that are retained, but thinning has limited effects on canopy structure</w:t>
      </w:r>
      <w:r>
        <w:rPr>
          <w:rStyle w:val="FootnoteCharacters"/>
        </w:rPr>
        <w:footnoteReference w:id="1"/>
      </w:r>
      <w:r>
        <w:t xml:space="preserve"> and generally has adverse effects on snags and dead wood. The NWFP ROD highlighted the importance of dead wood accumulation as young forests develop into mature &amp; old-growth: “Desired late-successional and old-growth characteristics that will be created as younger stands change through successional development include: (1) multispecies and multilayered assemblages of trees, (2) </w:t>
      </w:r>
      <w:r>
        <w:rPr>
          <w:b/>
        </w:rPr>
        <w:t>moderate-to-high accumulations of large logs and snags</w:t>
      </w:r>
      <w:r>
        <w:t>, (3) moderate-to-high canopy closure, (4) moderate-to-high numbers of trees with physical imperfections such as cavities, broken tops, and large deformed limbs, and (5) moderate-to-high accumulations of fungi, lichens, and bryophytes.” 1994 ROD p B-5. Thinning will truncate this important ecological process and degrade the quality of future late-successional habitat. When the logs are removed from the site, this adverse effect can be long-lasting.</w:t>
      </w:r>
    </w:p>
    <w:p w:rsidR="000A4F27" w:rsidRDefault="000A4F27" w:rsidP="000A4F27"/>
    <w:p w:rsidR="000A4F27" w:rsidRDefault="000A4F27" w:rsidP="000A4F27">
      <w:r>
        <w:t xml:space="preserve">“Natural processes and disturbances such as windthrow fire and the effects of pathogens and insects are also part of old forest development that thinning does not mimic.” </w:t>
      </w:r>
      <w:hyperlink r:id="rId79" w:history="1">
        <w:r>
          <w:rPr>
            <w:rStyle w:val="Hyperlink"/>
          </w:rPr>
          <w:t>http://www.fsl.orst.edu/Oldgrowthworkshop/statements/Tappeiner.pdf</w:t>
        </w:r>
      </w:hyperlink>
      <w:r>
        <w:t>.</w:t>
      </w:r>
    </w:p>
    <w:p w:rsidR="000A4F27" w:rsidRDefault="000A4F27" w:rsidP="000A4F27"/>
    <w:p w:rsidR="000A4F27" w:rsidRDefault="000A4F27" w:rsidP="000A4F27">
      <w:r>
        <w:t>Mid-seral stands that result from past clearcutting leave few if any legacies from the previous stand. Natural young stands tend to have abundant snags and dead wood, but clearcut stands are artificially deprived of dead wood several decades. At the age of thinning, such stands are starting to experience suppression mortality and will tend to accumulate snags and dead wood over time if left unthinned. However, thinning will perpetuate the artificial shortage of snags and dead wood for another several decades. This is a long-term cumulative impacts that needs to be addressed in the NEPA analysis.</w:t>
      </w:r>
    </w:p>
    <w:p w:rsidR="00A45E15" w:rsidRDefault="00A45E15"/>
    <w:p w:rsidR="000A4F27" w:rsidRDefault="000A4F27" w:rsidP="000A4F27">
      <w:r>
        <w:t xml:space="preserve">There is a widely held belief that growing big trees faster by thinning, also benefits snag associated wildlife and fish because if there are bigger trees, there must also be bigger snags </w:t>
      </w:r>
      <w:r>
        <w:lastRenderedPageBreak/>
        <w:t xml:space="preserve">faster. This assumption does not hold up under scrutiny. Thinning captures mortality and removes it from the forest to the mill. It also increases the vigor of trees and delays mortality. BLM says “Thinning ‘captures’ much of the snag recruitment that results from inter-tree competition and very little density mortality … is expected to occur for 25 years after treatment.” Salem BLM, South </w:t>
      </w:r>
      <w:proofErr w:type="spellStart"/>
      <w:r>
        <w:t>Scapoose</w:t>
      </w:r>
      <w:proofErr w:type="spellEnd"/>
      <w:r>
        <w:t xml:space="preserve"> EA. </w:t>
      </w:r>
      <w:hyperlink r:id="rId80" w:history="1">
        <w:r w:rsidRPr="00E70B6A">
          <w:rPr>
            <w:rStyle w:val="Hyperlink"/>
          </w:rPr>
          <w:t>http://www.blm.gov/or/districts/salem/plans/files/SSC_EA.pdf</w:t>
        </w:r>
      </w:hyperlink>
      <w:r>
        <w:t xml:space="preserve">.  See this online slideshow which shows the modeled effects of thinning on dead wood habitat. </w:t>
      </w:r>
      <w:hyperlink r:id="rId81" w:history="1">
        <w:r>
          <w:rPr>
            <w:rStyle w:val="Hyperlink"/>
          </w:rPr>
          <w:t>http://www.slideshare.net/dougoh/effects-of-logging-on-dead-wood-habitat</w:t>
        </w:r>
      </w:hyperlink>
      <w:r>
        <w:t>. Stand simulation models clearly show that we need to count the effects of thinning on dead wood as a “cost” instead of the “benefit”, so we need to consider appropriate methods to avoid and mitigate impacts. Avoidance is just to leave stands unthinned and let them naturally grow and recruit mortality over time. Mitigation can come in several forms. Here are a few ideas:</w:t>
      </w:r>
    </w:p>
    <w:p w:rsidR="000A4F27" w:rsidRDefault="000A4F27" w:rsidP="006D49C6">
      <w:pPr>
        <w:ind w:left="720"/>
      </w:pPr>
      <w:r>
        <w:t xml:space="preserve"> a) truly mimic natural disturbance by thinning with prescribed fire that creates a pulse of dead trees and does not build roads. This could be combined with light thinning;</w:t>
      </w:r>
    </w:p>
    <w:p w:rsidR="000A4F27" w:rsidRDefault="000A4F27" w:rsidP="006D49C6">
      <w:pPr>
        <w:ind w:left="720"/>
      </w:pPr>
      <w:r>
        <w:t xml:space="preserve"> b) retain abundant untreated areas such as riparian areas and other “skips” within thinning areas where natural mortality can proceed without interference, and make sure these areas do not get salvaged or thinned in subsequent entries so that mortality gets recruited to the stands, not to the mill;</w:t>
      </w:r>
    </w:p>
    <w:p w:rsidR="000A4F27" w:rsidRDefault="000A4F27" w:rsidP="006D49C6">
      <w:pPr>
        <w:ind w:left="720"/>
      </w:pPr>
      <w:r>
        <w:t xml:space="preserve"> c) identify which portions of the landscape will remain unthinned in perpetuity and keep the loggers out. Use tools like DecAID determine the appropriate portion of the landscape must be managed to meet the each different tolerance levels in order to attain desired objectives over time for viable populations, carbon storage, soil stability/sediment storage and routing, nutrient cycling, site productivity, water storage, and other ecological services.</w:t>
      </w:r>
    </w:p>
    <w:p w:rsidR="000A4F27" w:rsidRDefault="000A4F27" w:rsidP="000A4F27"/>
    <w:p w:rsidR="000A4F27" w:rsidRDefault="000A4F27" w:rsidP="000A4F27">
      <w:r>
        <w:t>NOTE: simply protecting existing snags or artificially creating a few snags during logging has a very short-term effect that does not address the more fundamental issue of continuous snag recruitment over time.</w:t>
      </w:r>
    </w:p>
    <w:p w:rsidR="00A45E15" w:rsidRDefault="00A45E15"/>
    <w:p w:rsidR="000A4F27" w:rsidRDefault="000A4F27" w:rsidP="000A4F27">
      <w:r>
        <w:t>The agency should recognize the long-term effects of captured mortality on the habitat needs of small mammals and spotted owls.</w:t>
      </w:r>
    </w:p>
    <w:p w:rsidR="000A4F27" w:rsidRDefault="000A4F27" w:rsidP="000A4F27">
      <w:pPr>
        <w:pStyle w:val="BodyTextIndent"/>
      </w:pPr>
      <w:r>
        <w:t xml:space="preserve">Several small mammals, such as the northern flying squirrel form the prey base for the Endangered Species Act (ESA) listed spotted owl and are among the species associated with abundant large dead standing and down wood. This presumably, is why spotted owls prefer to forage in stands with abundant standing and fallen dead wood (Table 2, North et al. 1999). The fruiting bodies of </w:t>
      </w:r>
      <w:proofErr w:type="spellStart"/>
      <w:r>
        <w:t>hypogeous</w:t>
      </w:r>
      <w:proofErr w:type="spellEnd"/>
      <w:r>
        <w:t xml:space="preserve"> fungi are a food source of northern flying squirrels and are also associated with down logs, suggesting that there are complex, indirect paths through which dead wood supports spotted owls (</w:t>
      </w:r>
      <w:proofErr w:type="spellStart"/>
      <w:r>
        <w:t>Amaranthus</w:t>
      </w:r>
      <w:proofErr w:type="spellEnd"/>
      <w:r>
        <w:t xml:space="preserve"> et al. 1994, Carey 2000).</w:t>
      </w:r>
    </w:p>
    <w:p w:rsidR="000A4F27" w:rsidRDefault="000A4F27" w:rsidP="006D49C6">
      <w:pPr>
        <w:ind w:right="-270"/>
      </w:pPr>
      <w:r>
        <w:t xml:space="preserve">Thomas Spies, Michael Pollock, Gordon Reeves, and Tim Beechie 2013. Effects of Riparian Thinning on Wood Recruitment: A Scientific Synthesis - Science Review Team Wood Recruitment Subgroup. Jan 28, 2013, p 36. </w:t>
      </w:r>
      <w:hyperlink r:id="rId82" w:history="1">
        <w:r w:rsidR="006D49C6" w:rsidRPr="00671902">
          <w:rPr>
            <w:rStyle w:val="Hyperlink"/>
          </w:rPr>
          <w:t>http://www.mediate.com/DSConsulting/docs/FINAL%20wood%20recruitment%20document.pdf</w:t>
        </w:r>
      </w:hyperlink>
      <w:r>
        <w:t xml:space="preserve"> </w:t>
      </w:r>
    </w:p>
    <w:p w:rsidR="000A4F27" w:rsidRDefault="000A4F27" w:rsidP="000A4F27"/>
    <w:p w:rsidR="000A4F27" w:rsidRDefault="000A4F27" w:rsidP="000A4F27">
      <w:r w:rsidRPr="002D0B6C">
        <w:lastRenderedPageBreak/>
        <w:t>North et al. (1999) noted in a study of</w:t>
      </w:r>
      <w:r>
        <w:t xml:space="preserve"> </w:t>
      </w:r>
      <w:r w:rsidRPr="002D0B6C">
        <w:t>foraging habitat selection by northern spotted owls, “In our study area, stands with high use by</w:t>
      </w:r>
      <w:r>
        <w:t xml:space="preserve"> </w:t>
      </w:r>
      <w:r w:rsidRPr="002D0B6C">
        <w:t>owls ty</w:t>
      </w:r>
      <w:r>
        <w:t>pically included many ‘legacies’</w:t>
      </w:r>
      <w:r w:rsidRPr="002D0B6C">
        <w:t xml:space="preserve"> (large trees and snags) that survived a fire or windstorm</w:t>
      </w:r>
      <w:r>
        <w:t xml:space="preserve"> </w:t>
      </w:r>
      <w:r w:rsidRPr="002D0B6C">
        <w:t xml:space="preserve">that destroyed much of the previous stand. </w:t>
      </w:r>
      <w:r>
        <w:t xml:space="preserve"> They found that “stands with 142 m</w:t>
      </w:r>
      <w:r>
        <w:rPr>
          <w:vertAlign w:val="superscript"/>
        </w:rPr>
        <w:t>3</w:t>
      </w:r>
      <w:r>
        <w:t>/ha of intact snags and a high diversity of tree heights had medium or high foraging use by spotted owls. In these old-growth stands, biological legacies (e.g., large trees and snags) produced by past disturbance provide important forest structures associated with spotted owl foraging.” North, Franklin, Carey, Forsman, Hamer. 1999. Forest Stand Structure of the Northern Spotted Owl’s Foraging Habitat. For. Sci. 45(4):520-527.</w:t>
      </w:r>
    </w:p>
    <w:p w:rsidR="000A4F27" w:rsidRDefault="000A4F27" w:rsidP="000A4F27"/>
    <w:p w:rsidR="000A4F27" w:rsidRDefault="000A4F27" w:rsidP="000A4F27">
      <w:r>
        <w:t>Artificial snag creation is often proposed as a mitigation, but this has very short-term benefits. Since logging has long-term adverse effects on snag recruitment, it is necessary to adopt mitigation with long-term effects, such as retaining untreated skips embedded within treatments areas where natural mortality processes can flourish.</w:t>
      </w:r>
    </w:p>
    <w:p w:rsidR="000A4F27" w:rsidRDefault="000A4F27"/>
    <w:p w:rsidR="000A4F27" w:rsidRPr="00A62C43" w:rsidRDefault="000A4F27" w:rsidP="000A4F27">
      <w:pPr>
        <w:pStyle w:val="Heading2"/>
        <w:keepLines w:val="0"/>
        <w:numPr>
          <w:ilvl w:val="1"/>
          <w:numId w:val="0"/>
        </w:numPr>
        <w:tabs>
          <w:tab w:val="num" w:pos="0"/>
        </w:tabs>
        <w:suppressAutoHyphens/>
        <w:spacing w:before="0" w:after="0" w:line="240" w:lineRule="auto"/>
        <w:ind w:left="576" w:hanging="576"/>
      </w:pPr>
      <w:bookmarkStart w:id="29" w:name="_Toc171683846"/>
      <w:bookmarkStart w:id="30" w:name="_Toc176959873"/>
      <w:r>
        <w:t>The Purpose and Need S</w:t>
      </w:r>
      <w:r w:rsidRPr="00A62C43">
        <w:t>hould Address The Unmet Need for Carbon Storage</w:t>
      </w:r>
      <w:bookmarkEnd w:id="29"/>
      <w:bookmarkEnd w:id="30"/>
    </w:p>
    <w:p w:rsidR="000A4F27" w:rsidRDefault="000A4F27" w:rsidP="000A4F27"/>
    <w:p w:rsidR="000A4F27" w:rsidRDefault="000A4F27" w:rsidP="000A4F27">
      <w:r w:rsidRPr="00C943A9">
        <w:t xml:space="preserve">The Forest Service cannot meet its legal obligations unless it works to reduce climate change. Those legal obligation emanate from the Forest Service Organic Act, the National Forest Management Act, </w:t>
      </w:r>
      <w:r>
        <w:t xml:space="preserve">the Endangered Species Act, </w:t>
      </w:r>
      <w:r w:rsidRPr="00C943A9">
        <w:t>Multiple-Use Sustained-Yield Act, and the applicable Land and Resources Management Plan</w:t>
      </w:r>
      <w:r w:rsidR="00AA4B67">
        <w:t>, as amended</w:t>
      </w:r>
      <w:r w:rsidRPr="00C943A9">
        <w:t xml:space="preserve">. </w:t>
      </w:r>
      <w:r>
        <w:t xml:space="preserve"> </w:t>
      </w:r>
    </w:p>
    <w:p w:rsidR="000A4F27" w:rsidRDefault="000A4F27" w:rsidP="000A4F27"/>
    <w:p w:rsidR="000A4F27" w:rsidRDefault="000A4F27" w:rsidP="000A4F27">
      <w:r>
        <w:t xml:space="preserve">“Public forest reservations are established to protect and improve the forests for the purpose of securing a permanent supply of timber for the people and insuring conditions favorable to continuous water flow.” 1897 FS Organic Act. </w:t>
      </w:r>
      <w:hyperlink r:id="rId83" w:history="1">
        <w:r w:rsidRPr="00017F77">
          <w:rPr>
            <w:rStyle w:val="Hyperlink"/>
          </w:rPr>
          <w:t>https://winapps.umt.edu/winapps/media2/wilderness/NWPS/documents/publiclaws/ORGANIC-ACT-OF-1897.pdf</w:t>
        </w:r>
      </w:hyperlink>
      <w:r>
        <w:t>. Climate change is expected to disrupt forest ecosystems and hydrologic systems to an extent that threatens to violate the very foundations of the agency’s Organic Act. The FS should make every effort to reduce GHG emissions that exacerbate global climate change.</w:t>
      </w:r>
    </w:p>
    <w:p w:rsidR="000A4F27" w:rsidRDefault="000A4F27" w:rsidP="000A4F27">
      <w:pPr>
        <w:spacing w:before="100" w:beforeAutospacing="1" w:after="100" w:afterAutospacing="1"/>
      </w:pPr>
      <w:r>
        <w:t>The agency is required by law to faithfully implement its Resource Management Plan. Meeting resource management objectives set forth in the RMP requires properly functioning ecosystems with biophysical conditions and disturbance regimes within the historic range of variability.  Global climate change is a clear and present threat to forest ecosystems and watersheds and is preventing the agency from meeting the goals and standards &amp; guidelines described in the applicable Resource Management Plan, and other core legal requirements for management of federal lands. The agency cannot meet the RMP without bringing climate change under control, which requires reducing emissions, including emissions from logging. The agency cannot say that carbon storage is outside the scope of this project or not part of the purpose and need. The agency must include carbon storage as part of the purpose and need for this project.</w:t>
      </w:r>
    </w:p>
    <w:p w:rsidR="000A4F27" w:rsidRDefault="000A4F27" w:rsidP="000A4F27">
      <w:r>
        <w:t xml:space="preserve">The agency typically says one of the purposes of this project is to provide a supply of wood products to the public. The agency should reconsider timber targets in light of the fact that the public </w:t>
      </w:r>
      <w:r w:rsidRPr="00EB69D6">
        <w:rPr>
          <w:i/>
        </w:rPr>
        <w:t>needs</w:t>
      </w:r>
      <w:r>
        <w:t xml:space="preserve"> carbon storage to reduce global climate change much more than they </w:t>
      </w:r>
      <w:r w:rsidRPr="00EB69D6">
        <w:rPr>
          <w:i/>
        </w:rPr>
        <w:t>need</w:t>
      </w:r>
      <w:r>
        <w:t xml:space="preserve"> wood </w:t>
      </w:r>
      <w:r>
        <w:lastRenderedPageBreak/>
        <w:t>products. The NEPA analysis also needs to account for the fact that managing forests for water quality, water quantity, quality of life, and carbon storage for a stable climate will contribute far more to community stability than propping up the timber boom-bust industry with subsidized logging.</w:t>
      </w:r>
    </w:p>
    <w:p w:rsidR="000A4F27" w:rsidRDefault="000A4F27" w:rsidP="000A4F27"/>
    <w:p w:rsidR="000A4F27" w:rsidRDefault="000A4F27" w:rsidP="000A4F27">
      <w:r>
        <w:t xml:space="preserve">The agency must recognize that wood products are already underpriced and over-supplied due to “externalities” (costs that are not included in the price of wood, so those costs are shifted from wood product producers and consumers to the general public who suffer the consequences of climate change without compensation from those who </w:t>
      </w:r>
      <w:r w:rsidRPr="00D60738">
        <w:t xml:space="preserve">receive artificially inflated </w:t>
      </w:r>
      <w:r>
        <w:t>profits from logging related externalities). Ecosystem carbon storage on the other hand is under-supplied because there is not a functioning market for carbon storage and climate services. The agency is in a position to address these market imperfections by focusing on unmet demand for carbon storage instead of offering wood products that are already oversupplied.</w:t>
      </w:r>
    </w:p>
    <w:p w:rsidR="000A4F27" w:rsidRDefault="000A4F27" w:rsidP="000A4F27"/>
    <w:p w:rsidR="000A4F27" w:rsidRDefault="000A4F27" w:rsidP="000A4F27">
      <w:pPr>
        <w:autoSpaceDE w:val="0"/>
        <w:ind w:left="720"/>
      </w:pPr>
      <w:r>
        <w:t xml:space="preserve">Land protection, both public and private, provides substantial ecological benefits by avoiding conversion of natural systems to intensive, developed uses. These benefits include carbon sequestration, watershed functioning, soil conservation, and the preservation of diverse habitat types (e.g., Daily 1997, </w:t>
      </w:r>
      <w:proofErr w:type="spellStart"/>
      <w:r>
        <w:t>Brauman</w:t>
      </w:r>
      <w:proofErr w:type="spellEnd"/>
      <w:r>
        <w:t xml:space="preserve"> et al. 2007, Kumar 2012, Watson et al. 2014). Land protection also solves a key market failure: private markets tend to underprovide socially beneficial land uses such as natural forests, agricultural lands, or managed timberlands. The reason for this failure is that many of the benefits of these lands go to the public in general, not individual landowners. When private values and market transactions determine land uses, less land will be devoted to socially beneficial uses than if citizens could collectively determine use on the basis of social values (e.g., </w:t>
      </w:r>
      <w:proofErr w:type="spellStart"/>
      <w:r>
        <w:t>Angelsen</w:t>
      </w:r>
      <w:proofErr w:type="spellEnd"/>
      <w:r>
        <w:t xml:space="preserve"> 2010, </w:t>
      </w:r>
      <w:proofErr w:type="spellStart"/>
      <w:r>
        <w:t>Tietenberg</w:t>
      </w:r>
      <w:proofErr w:type="spellEnd"/>
      <w:r>
        <w:t xml:space="preserve"> and Lewis 2016).</w:t>
      </w:r>
    </w:p>
    <w:p w:rsidR="000A4F27" w:rsidRDefault="000A4F27" w:rsidP="000A4F27">
      <w:pPr>
        <w:autoSpaceDE w:val="0"/>
      </w:pPr>
      <w:r>
        <w:t xml:space="preserve">Katharine R.E. Sims, Jonathan R. Thompson, Spencer R. Meyer, Christoph Nolte, Joshua S. </w:t>
      </w:r>
      <w:proofErr w:type="spellStart"/>
      <w:r>
        <w:t>Plisinski</w:t>
      </w:r>
      <w:proofErr w:type="spellEnd"/>
      <w:r>
        <w:t xml:space="preserve">. 2019. Assessing the local economic impacts of land protection. Conservation Biology. 26 March 2019 </w:t>
      </w:r>
      <w:hyperlink r:id="rId84" w:history="1">
        <w:r w:rsidRPr="00A404B7">
          <w:rPr>
            <w:rStyle w:val="Hyperlink"/>
          </w:rPr>
          <w:t>https://doi.org/10.1111/cobi.13318</w:t>
        </w:r>
      </w:hyperlink>
      <w:r>
        <w:t xml:space="preserve">, </w:t>
      </w:r>
      <w:hyperlink r:id="rId85" w:history="1">
        <w:r>
          <w:rPr>
            <w:rStyle w:val="Hyperlink"/>
          </w:rPr>
          <w:t>https://harvardforest.fas.harvard.edu/sites/default/files/Sims_et_al-2019-Conservation_Biology.pdf</w:t>
        </w:r>
      </w:hyperlink>
      <w:r>
        <w:t>.</w:t>
      </w:r>
    </w:p>
    <w:p w:rsidR="000A4F27" w:rsidRDefault="000A4F27" w:rsidP="000A4F27"/>
    <w:p w:rsidR="000A4F27" w:rsidRDefault="000A4F27" w:rsidP="000A4F27">
      <w:r>
        <w:t xml:space="preserve">Maintaining and increasing carbon storage in ecosystems on public lands is also required to meet LRMP desired future conditions and standards &amp; guidelines. Carbon emissions from logging and other land management activities exacerbate global climate change and drive ecosystem changes that diverge from desired future conditions, such as uncharacteristic drought, fire, insect outbreaks, vegetation and wildlife mortality, species range shifts, low summer stream flows, unfavorable stream temperatures, extreme precipitation and peak flows and erosion, uncertainty related to vegetation recovery post-disturbance, uncertainty about the ability to provide a </w:t>
      </w:r>
      <w:r w:rsidRPr="00F705FF">
        <w:t>predictable, sustainable supply of forest products</w:t>
      </w:r>
      <w:r>
        <w:t>, etc. The agency should identify a purpose and need that recognizes the necessity of avoiding carbon emissions from logging and optimizing carbon storage to fulfill the promises in the LRMP.</w:t>
      </w:r>
    </w:p>
    <w:p w:rsidR="000A4F27" w:rsidRDefault="000A4F27" w:rsidP="000A4F27"/>
    <w:p w:rsidR="000A4F27" w:rsidRDefault="0054102F" w:rsidP="000A4F27">
      <w:pPr>
        <w:pStyle w:val="Heading2"/>
        <w:keepLines w:val="0"/>
        <w:numPr>
          <w:ilvl w:val="1"/>
          <w:numId w:val="0"/>
        </w:numPr>
        <w:tabs>
          <w:tab w:val="num" w:pos="0"/>
        </w:tabs>
        <w:suppressAutoHyphens/>
        <w:spacing w:before="0" w:after="0" w:line="240" w:lineRule="auto"/>
        <w:ind w:left="576" w:hanging="576"/>
      </w:pPr>
      <w:bookmarkStart w:id="31" w:name="_Toc171683847"/>
      <w:bookmarkStart w:id="32" w:name="_Toc176959874"/>
      <w:r>
        <w:t>The EA should Not R</w:t>
      </w:r>
      <w:r w:rsidR="000A4F27">
        <w:t xml:space="preserve">ely on the </w:t>
      </w:r>
      <w:r>
        <w:t>F</w:t>
      </w:r>
      <w:r w:rsidR="000A4F27">
        <w:t xml:space="preserve">lawed </w:t>
      </w:r>
      <w:r>
        <w:t>C</w:t>
      </w:r>
      <w:r w:rsidR="000A4F27">
        <w:t xml:space="preserve">limate </w:t>
      </w:r>
      <w:r>
        <w:t>A</w:t>
      </w:r>
      <w:r w:rsidR="000A4F27">
        <w:t>nalyses</w:t>
      </w:r>
      <w:bookmarkEnd w:id="31"/>
      <w:bookmarkEnd w:id="32"/>
    </w:p>
    <w:p w:rsidR="000A4F27" w:rsidRDefault="000A4F27" w:rsidP="000A4F27">
      <w:pPr>
        <w:rPr>
          <w:highlight w:val="yellow"/>
        </w:rPr>
      </w:pPr>
    </w:p>
    <w:p w:rsidR="005B1247" w:rsidRDefault="005B1247" w:rsidP="000A4F27">
      <w:r>
        <w:lastRenderedPageBreak/>
        <w:t xml:space="preserve">The North Fork Smith EA includes </w:t>
      </w:r>
      <w:r w:rsidRPr="005B1247">
        <w:t>Appendix E – Climate Change, Vulnerability, Adaptation</w:t>
      </w:r>
      <w:r>
        <w:t>. Unfortunately this Appendix does not adequately address logging-related carbon emissions and global climate change. Our scoping comments and CEQ guidance provide information that would help the Forest Service take the required hard look, but the EA fails to do so.</w:t>
      </w:r>
    </w:p>
    <w:p w:rsidR="005B1247" w:rsidRDefault="005B1247" w:rsidP="000A4F27"/>
    <w:p w:rsidR="000A4F27" w:rsidRDefault="000A4F27" w:rsidP="000A4F27">
      <w:r>
        <w:t xml:space="preserve">As explained below, the Forest Service’s standardized NEPA language </w:t>
      </w:r>
      <w:r w:rsidRPr="00C943A9">
        <w:t xml:space="preserve">handed down from the regional office </w:t>
      </w:r>
      <w:r>
        <w:t>regarding carbon and climate change fails to take a hard look that NEPA requires. The analysis makes several highly misleading statements about managing forests for carbon storage, climate resilience, and the effects on climate change. The analysis inappropriately mischaracterizes the role of individual logging projects in the cumulative problem of global GHG emissions. The analysis misstates the effects of logging related carbon emissions that are not related to “deforestation.” The analysis grossly misstates the climate effects of logging intended to reduce disturbance. The analysis misleadingly implies that logging benefits the climate by increasing forest productivity.</w:t>
      </w:r>
    </w:p>
    <w:p w:rsidR="000A4F27" w:rsidRDefault="000A4F27" w:rsidP="000A4F27">
      <w:pPr>
        <w:rPr>
          <w:rFonts w:ascii="Times New Roman" w:hAnsi="Times New Roman" w:cs="Times New Roman"/>
          <w:szCs w:val="24"/>
        </w:rPr>
      </w:pPr>
    </w:p>
    <w:p w:rsidR="000A4F27" w:rsidRDefault="000A4F27" w:rsidP="000A4F27">
      <w:pPr>
        <w:rPr>
          <w:rFonts w:ascii="Times New Roman" w:hAnsi="Times New Roman" w:cs="Times New Roman"/>
          <w:szCs w:val="24"/>
        </w:rPr>
      </w:pPr>
      <w:r w:rsidRPr="00BE282B">
        <w:rPr>
          <w:rFonts w:ascii="Times New Roman" w:hAnsi="Times New Roman" w:cs="Times New Roman"/>
          <w:szCs w:val="24"/>
        </w:rPr>
        <w:t xml:space="preserve">The NEPA analysis should consider the adverse climate consequences of GHG emissions caused directly and indirectly by logging. </w:t>
      </w:r>
      <w:r>
        <w:t>The NEPA analysis should estimate the quantity of GHG emitted by logging and associated activities throughout the wood products supply chain, and describe the contribution of this project to cumulative impacts of excess GHG in the atmosphere. The NEPA analysis should use a proxy such as the social cost of carbon dioxide emissions to describe effects.</w:t>
      </w:r>
    </w:p>
    <w:p w:rsidR="000A4F27" w:rsidRDefault="000A4F27" w:rsidP="000A4F27">
      <w:pPr>
        <w:rPr>
          <w:rFonts w:ascii="Times New Roman" w:hAnsi="Times New Roman" w:cs="Times New Roman"/>
          <w:szCs w:val="24"/>
        </w:rPr>
      </w:pPr>
    </w:p>
    <w:p w:rsidR="000A4F27" w:rsidRPr="00E17113" w:rsidRDefault="000A4F27" w:rsidP="000A4F27">
      <w:pPr>
        <w:rPr>
          <w:rFonts w:cs="Times New Roman"/>
          <w:szCs w:val="24"/>
        </w:rPr>
      </w:pPr>
      <w:r w:rsidRPr="00E17113">
        <w:rPr>
          <w:rFonts w:cs="Times New Roman"/>
          <w:szCs w:val="24"/>
        </w:rPr>
        <w:t>The Forest Service should not rely on the boilerplate NEPA language from the regional office which is flawed in many ways. Instead the Forest Service:</w:t>
      </w:r>
    </w:p>
    <w:p w:rsidR="000A4F27" w:rsidRPr="00E17113" w:rsidRDefault="000A4F27" w:rsidP="000A4F27">
      <w:pPr>
        <w:pStyle w:val="ListParagraph"/>
        <w:numPr>
          <w:ilvl w:val="0"/>
          <w:numId w:val="10"/>
        </w:numPr>
        <w:suppressAutoHyphens/>
        <w:spacing w:after="200"/>
        <w:contextualSpacing w:val="0"/>
        <w:rPr>
          <w:rFonts w:ascii="Georgia" w:hAnsi="Georgia"/>
        </w:rPr>
      </w:pPr>
      <w:r w:rsidRPr="00E17113">
        <w:rPr>
          <w:rFonts w:ascii="Georgia" w:hAnsi="Georgia"/>
        </w:rPr>
        <w:t>Must recognize the cumulative nature of the GHG emissions and climate problems. It does not matter that this project is small in the global scheme because all emissions matter when the causation (and effects) of climate change are global and cumulative;</w:t>
      </w:r>
    </w:p>
    <w:p w:rsidR="000A4F27" w:rsidRPr="00E17113" w:rsidRDefault="000A4F27" w:rsidP="000A4F27">
      <w:pPr>
        <w:pStyle w:val="ListParagraph"/>
        <w:numPr>
          <w:ilvl w:val="0"/>
          <w:numId w:val="10"/>
        </w:numPr>
        <w:suppressAutoHyphens/>
        <w:spacing w:after="200"/>
        <w:contextualSpacing w:val="0"/>
        <w:rPr>
          <w:rFonts w:ascii="Georgia" w:hAnsi="Georgia"/>
        </w:rPr>
      </w:pPr>
      <w:r w:rsidRPr="00E17113">
        <w:rPr>
          <w:rFonts w:ascii="Georgia" w:hAnsi="Georgia"/>
        </w:rPr>
        <w:t>Cannot credibly assert that this project is harmless because it’s not causing deforestation. This is immaterial. All GHG emissions, regardless of the source or how it is labelled, are part of the problem and cause the same climate impacts.</w:t>
      </w:r>
    </w:p>
    <w:p w:rsidR="000A4F27" w:rsidRPr="00E17113" w:rsidRDefault="000A4F27" w:rsidP="000A4F27">
      <w:pPr>
        <w:pStyle w:val="ListParagraph"/>
        <w:numPr>
          <w:ilvl w:val="0"/>
          <w:numId w:val="10"/>
        </w:numPr>
        <w:suppressAutoHyphens/>
        <w:spacing w:after="200"/>
        <w:contextualSpacing w:val="0"/>
        <w:rPr>
          <w:rFonts w:ascii="Georgia" w:hAnsi="Georgia"/>
        </w:rPr>
      </w:pPr>
      <w:r w:rsidRPr="00E17113">
        <w:rPr>
          <w:rFonts w:ascii="Georgia" w:hAnsi="Georgia"/>
        </w:rPr>
        <w:t xml:space="preserve">Cannot credibly assert that thinning for forest health justifies or mitigates emissions from logging. Logging does not increase the capacity for growing trees. To the contrary, logging harms soil and reduces site productivity. Storing carbon in wood products is not preferable to storing carbon in forests. Evidence shows that forests are a more secure way of storing carbon. If this forest is not logged, or if more green tree are retained </w:t>
      </w:r>
      <w:r w:rsidRPr="00E17113">
        <w:rPr>
          <w:rFonts w:ascii="Georgia" w:hAnsi="Georgia"/>
          <w:i/>
        </w:rPr>
        <w:t>in situ</w:t>
      </w:r>
      <w:r w:rsidRPr="00E17113">
        <w:rPr>
          <w:rFonts w:ascii="Georgia" w:hAnsi="Georgia"/>
        </w:rPr>
        <w:t>, the agency cannot conclude that natural mortality will be greater than logging mortality. In fact, it is quite easy to predict that logging causes significantly more mortality than natural processes.</w:t>
      </w:r>
    </w:p>
    <w:p w:rsidR="000A4F27" w:rsidRPr="00E17113" w:rsidRDefault="000A4F27" w:rsidP="000A4F27">
      <w:pPr>
        <w:pStyle w:val="ListParagraph"/>
        <w:numPr>
          <w:ilvl w:val="0"/>
          <w:numId w:val="10"/>
        </w:numPr>
        <w:suppressAutoHyphens/>
        <w:spacing w:after="200"/>
        <w:contextualSpacing w:val="0"/>
        <w:rPr>
          <w:rFonts w:ascii="Georgia" w:hAnsi="Georgia"/>
        </w:rPr>
      </w:pPr>
      <w:r w:rsidRPr="00E17113">
        <w:rPr>
          <w:rFonts w:ascii="Georgia" w:hAnsi="Georgia"/>
        </w:rPr>
        <w:t xml:space="preserve">Must not compare carbon </w:t>
      </w:r>
      <w:r w:rsidRPr="00E17113">
        <w:rPr>
          <w:rFonts w:ascii="Georgia" w:hAnsi="Georgia"/>
          <w:i/>
        </w:rPr>
        <w:t>before and after</w:t>
      </w:r>
      <w:r w:rsidRPr="00E17113">
        <w:rPr>
          <w:rFonts w:ascii="Georgia" w:hAnsi="Georgia"/>
        </w:rPr>
        <w:t xml:space="preserve"> logging. That is an improper framework for NEPA analysis. The proper NEPA framework is to compare the </w:t>
      </w:r>
      <w:r w:rsidRPr="00E17113">
        <w:rPr>
          <w:rFonts w:ascii="Georgia" w:hAnsi="Georgia"/>
        </w:rPr>
        <w:lastRenderedPageBreak/>
        <w:t xml:space="preserve">effects of different alternatives (over time), so the agency must describe the carbon emissions and carbon storage in the forest over time </w:t>
      </w:r>
      <w:r w:rsidRPr="00E17113">
        <w:rPr>
          <w:rFonts w:ascii="Georgia" w:hAnsi="Georgia"/>
          <w:i/>
        </w:rPr>
        <w:t xml:space="preserve">with </w:t>
      </w:r>
      <w:r w:rsidRPr="00E17113">
        <w:rPr>
          <w:rFonts w:ascii="Georgia" w:hAnsi="Georgia"/>
        </w:rPr>
        <w:t>logging and</w:t>
      </w:r>
      <w:r w:rsidRPr="00E17113">
        <w:rPr>
          <w:rFonts w:ascii="Georgia" w:hAnsi="Georgia"/>
          <w:i/>
        </w:rPr>
        <w:t xml:space="preserve"> without</w:t>
      </w:r>
      <w:r w:rsidRPr="00E17113">
        <w:rPr>
          <w:rFonts w:ascii="Georgia" w:hAnsi="Georgia"/>
        </w:rPr>
        <w:t xml:space="preserve"> logging. </w:t>
      </w:r>
    </w:p>
    <w:p w:rsidR="000A4F27" w:rsidRPr="00E17113" w:rsidRDefault="000A4F27" w:rsidP="000A4F27">
      <w:pPr>
        <w:pStyle w:val="ListParagraph"/>
        <w:numPr>
          <w:ilvl w:val="0"/>
          <w:numId w:val="10"/>
        </w:numPr>
        <w:suppressAutoHyphens/>
        <w:spacing w:after="200"/>
        <w:contextualSpacing w:val="0"/>
        <w:rPr>
          <w:rFonts w:ascii="Georgia" w:hAnsi="Georgia"/>
        </w:rPr>
      </w:pPr>
      <w:r w:rsidRPr="00E17113">
        <w:rPr>
          <w:rFonts w:ascii="Georgia" w:hAnsi="Georgia"/>
        </w:rPr>
        <w:t>Logging to reduce fire effects does not result in a net increase in forest carbon storage. The agency cannot predict the location, timing, or severity of future wildfires, so most fuel treatments will cause carbon emissions without any offsetting benefits from modified fire behavior. Studies clearly show that the total carbon emissions from logging (plus unavoidable wildfire) are greater than carbon emissions from wildfire alone.</w:t>
      </w:r>
    </w:p>
    <w:p w:rsidR="000A4F27" w:rsidRPr="00E17113" w:rsidRDefault="000A4F27" w:rsidP="000A4F27">
      <w:pPr>
        <w:pStyle w:val="ListParagraph"/>
        <w:numPr>
          <w:ilvl w:val="0"/>
          <w:numId w:val="10"/>
        </w:numPr>
        <w:suppressAutoHyphens/>
        <w:spacing w:after="200"/>
        <w:contextualSpacing w:val="0"/>
        <w:rPr>
          <w:rFonts w:ascii="Georgia" w:hAnsi="Georgia"/>
        </w:rPr>
      </w:pPr>
      <w:r w:rsidRPr="00E17113">
        <w:rPr>
          <w:rFonts w:ascii="Georgia" w:hAnsi="Georgia"/>
        </w:rPr>
        <w:t xml:space="preserve">Cannot credibly assert that carbon storage in wood products is a useful climate strategy. Logging kills trees, stops photosynthesis, and initiates decay and combustion, with the end result being a significant transfer of carbon from the forest to the atmosphere. In stark contrast, an unlogged forest continues to grow and transfer more carbon from the atmosphere to the forest. Carbon emissions caused by logging far exceed the small fraction of carbon transferred to wood products. Carbon accounting methods that attempt to account for </w:t>
      </w:r>
      <w:r w:rsidRPr="00E17113">
        <w:rPr>
          <w:rFonts w:ascii="Georgia" w:hAnsi="Georgia"/>
          <w:i/>
        </w:rPr>
        <w:t>substitution</w:t>
      </w:r>
      <w:r w:rsidRPr="00E17113">
        <w:rPr>
          <w:rFonts w:ascii="Georgia" w:hAnsi="Georgia"/>
        </w:rPr>
        <w:t xml:space="preserve"> of wood for other high-carbon building materials are fraught with uncertainty and too often represent maximum potential substitution effects rather than lower realistic estimates.</w:t>
      </w:r>
    </w:p>
    <w:p w:rsidR="000A4F27" w:rsidRPr="00E17113" w:rsidRDefault="000A4F27" w:rsidP="000A4F27">
      <w:pPr>
        <w:rPr>
          <w:bCs/>
        </w:rPr>
      </w:pPr>
      <w:r w:rsidRPr="00E17113">
        <w:rPr>
          <w:bCs/>
        </w:rPr>
        <w:t xml:space="preserve">The FS </w:t>
      </w:r>
      <w:hyperlink r:id="rId86" w:history="1">
        <w:r w:rsidRPr="00E17113">
          <w:rPr>
            <w:rStyle w:val="Hyperlink"/>
            <w:bCs/>
          </w:rPr>
          <w:t>website</w:t>
        </w:r>
      </w:hyperlink>
      <w:r w:rsidRPr="00E17113">
        <w:rPr>
          <w:bCs/>
        </w:rPr>
        <w:t xml:space="preserve"> links to a 2009 </w:t>
      </w:r>
      <w:hyperlink r:id="rId87" w:history="1">
        <w:r w:rsidRPr="00E17113">
          <w:rPr>
            <w:rStyle w:val="Hyperlink"/>
            <w:bCs/>
          </w:rPr>
          <w:t>document</w:t>
        </w:r>
      </w:hyperlink>
      <w:r w:rsidRPr="00E17113">
        <w:rPr>
          <w:bCs/>
        </w:rPr>
        <w:t xml:space="preserve"> explaining how to incorporate “Climate Change Considerations in Project Level NEPA Analysis.” Since then the agency has regressed to a misleading and incomplete non-quantitative analysis of how carbon emissions from logging contribute to global climate change. The FS should now be following the latest 2023 CEQ guidance on fulfilling NEPA requirements for projects that affect the carbon cycle and emit GHG.</w:t>
      </w:r>
    </w:p>
    <w:p w:rsidR="000A4F27" w:rsidRDefault="000A4F27" w:rsidP="000A4F27">
      <w:pPr>
        <w:rPr>
          <w:bCs/>
        </w:rPr>
      </w:pPr>
    </w:p>
    <w:p w:rsidR="000A4F27" w:rsidRPr="004B5BFC" w:rsidRDefault="0054102F" w:rsidP="000A4F27">
      <w:pPr>
        <w:pStyle w:val="Heading2"/>
        <w:keepLines w:val="0"/>
        <w:numPr>
          <w:ilvl w:val="1"/>
          <w:numId w:val="0"/>
        </w:numPr>
        <w:tabs>
          <w:tab w:val="num" w:pos="0"/>
        </w:tabs>
        <w:suppressAutoHyphens/>
        <w:spacing w:before="0" w:after="0" w:line="240" w:lineRule="auto"/>
        <w:ind w:left="576" w:hanging="576"/>
      </w:pPr>
      <w:bookmarkStart w:id="33" w:name="_Toc171683848"/>
      <w:bookmarkStart w:id="34" w:name="_Toc176959875"/>
      <w:r>
        <w:t xml:space="preserve">The EA Needs to Follow </w:t>
      </w:r>
      <w:r w:rsidR="000A4F27">
        <w:t>CEQ Guidance: Take a Hard Look at the Effects of, and Alternatives to, GHG Emissions from Logging.</w:t>
      </w:r>
      <w:bookmarkEnd w:id="33"/>
      <w:bookmarkEnd w:id="34"/>
    </w:p>
    <w:p w:rsidR="000A4F27" w:rsidRDefault="000A4F27" w:rsidP="000A4F27"/>
    <w:p w:rsidR="000A4F27" w:rsidRDefault="000A4F27" w:rsidP="000A4F27">
      <w:r>
        <w:t xml:space="preserve">Since the pre-scoping process was conducted, CEQ has issued new guidance to help agencies conduct credible NEPA analysis of the effects of federal actions on carbon and climate change. The agency should follow the latest (2023) CEQ guidance for analysis of global climate change in federal NEPA analyses, including quantification of GHG emissions, quantification of the social cost of GHG emissions, disclosure whether the project makes progress toward or away from climate goals, comparison of effects with-and-without the project, and development of alternatives that avoid, minimize, and mitigate effects of emissions. </w:t>
      </w:r>
    </w:p>
    <w:p w:rsidR="000A4F27" w:rsidRDefault="000A4F27" w:rsidP="000A4F27">
      <w:pPr>
        <w:ind w:left="720"/>
      </w:pPr>
    </w:p>
    <w:p w:rsidR="000A4F27" w:rsidRPr="00606EAE" w:rsidRDefault="000A4F27" w:rsidP="000A4F27">
      <w:pPr>
        <w:ind w:left="720"/>
        <w:rPr>
          <w:b/>
        </w:rPr>
      </w:pPr>
      <w:r w:rsidRPr="00606EAE">
        <w:rPr>
          <w:b/>
        </w:rPr>
        <w:t>Quantifying, Disclosing, and Contextualizing Climate Impacts, and</w:t>
      </w:r>
    </w:p>
    <w:p w:rsidR="000A4F27" w:rsidRPr="00606EAE" w:rsidRDefault="000A4F27" w:rsidP="000A4F27">
      <w:pPr>
        <w:ind w:left="720"/>
        <w:rPr>
          <w:b/>
        </w:rPr>
      </w:pPr>
      <w:r w:rsidRPr="00606EAE">
        <w:rPr>
          <w:b/>
        </w:rPr>
        <w:t>Addressing the Potential Climate Change Effects of Proposed Federal</w:t>
      </w:r>
    </w:p>
    <w:p w:rsidR="000A4F27" w:rsidRPr="00606EAE" w:rsidRDefault="000A4F27" w:rsidP="000A4F27">
      <w:pPr>
        <w:ind w:left="720"/>
        <w:rPr>
          <w:b/>
        </w:rPr>
      </w:pPr>
      <w:r w:rsidRPr="00606EAE">
        <w:rPr>
          <w:b/>
        </w:rPr>
        <w:t>Actions</w:t>
      </w:r>
    </w:p>
    <w:p w:rsidR="000A4F27" w:rsidRDefault="000A4F27" w:rsidP="000A4F27">
      <w:pPr>
        <w:ind w:left="720"/>
      </w:pPr>
      <w:r>
        <w:lastRenderedPageBreak/>
        <w:t>Consistent with section 102(2)(C) of NEPA, Federal agencies must disclose and consider the reasonably foreseeable effects of their proposed actions including the extent to which a proposed action and its reasonable alternatives (including the no action alternative) would result in reasonably foreseeable GHG emissions that contribute to climate change. Federal agencies also should consider the ways in which a changing climate may impact the proposed action and its reasonable alternatives, and change the action’s environmental effects over the lifetime of those effects.</w:t>
      </w:r>
      <w:r>
        <w:cr/>
        <w:t>…</w:t>
      </w:r>
    </w:p>
    <w:p w:rsidR="000A4F27" w:rsidRDefault="000A4F27" w:rsidP="000A4F27">
      <w:pPr>
        <w:ind w:left="720"/>
      </w:pPr>
      <w:r>
        <w:t>Some resource management activities, such as a prescribed burn or certain non-commercial thinning of forests or grasslands conducted to reduce wildfire risk or insect infestations, might result in short-term GHG emissions or loss of stored carbon but greater long-term ecosystem health, including an overall net increase in carbon sequestration and storage. However, other types of land-use changes, such as permanent deforestation, can adversely alter ecosystem long-term carbon dynamics, resulting in net emissions. Agencies can use relevant tools to analyze the anticipated long-term GHG emissions implications from proposed ecosystem restoration actions.</w:t>
      </w:r>
      <w:r>
        <w:cr/>
      </w:r>
    </w:p>
    <w:p w:rsidR="000A4F27" w:rsidRDefault="000A4F27" w:rsidP="000A4F27">
      <w:pPr>
        <w:ind w:left="720"/>
      </w:pPr>
      <w:r>
        <w:t>This guidance is intended to assist agencies in disclosing and considering the effects of GHG emissions and climate change. This guidance does not establish any particular quantity of GHG emissions as “significantly” affecting the quality of the human environment. However, quantifying a proposed action’s reasonably foreseeable GHG emissions whenever possible, and placing those emissions in appropriate context are important components of analyzing a proposed action’s reasonably foreseeable climate change effects.</w:t>
      </w:r>
    </w:p>
    <w:p w:rsidR="000A4F27" w:rsidRDefault="000A4F27" w:rsidP="000A4F27">
      <w:pPr>
        <w:ind w:left="720"/>
      </w:pPr>
      <w:r>
        <w:t>This section of the guidance identifies and explains the following steps agencies should take when analyzing a proposed action’s climate change effects under NEPA:</w:t>
      </w:r>
    </w:p>
    <w:p w:rsidR="000A4F27" w:rsidRDefault="000A4F27" w:rsidP="000A4F27">
      <w:pPr>
        <w:ind w:left="720"/>
      </w:pPr>
      <w:r>
        <w:t>1) Quantify the reasonably foreseeable GHG emissions (including direct and indirect emissions) of a proposed action, the no action alternative, and any reasonable alternatives as discussed in Section IV(A) below.</w:t>
      </w:r>
    </w:p>
    <w:p w:rsidR="000A4F27" w:rsidRDefault="000A4F27" w:rsidP="000A4F27">
      <w:pPr>
        <w:ind w:left="720"/>
      </w:pPr>
      <w:r>
        <w:t>2) Disclose and provide context for the GHG emissions and climate impacts associated with a proposed action and alternatives, including by, as relevant, monetizing climate damages using estimates of the SC-GHG, placing emissions in the context of relevant climate action goals and commitments, and providing common equivalents, as described below in Section IV(B).</w:t>
      </w:r>
    </w:p>
    <w:p w:rsidR="000A4F27" w:rsidRDefault="000A4F27" w:rsidP="000A4F27">
      <w:pPr>
        <w:ind w:left="720"/>
      </w:pPr>
      <w:r>
        <w:t>3) Analyze reasonable alternatives, including those that would reduce GHG emissions relative to baseline conditions, and identify available mitigation measures to avoid, minimize, or compensate for climate effects.</w:t>
      </w:r>
    </w:p>
    <w:p w:rsidR="000A4F27" w:rsidRDefault="000A4F27" w:rsidP="000A4F27">
      <w:pPr>
        <w:ind w:left="720"/>
      </w:pPr>
      <w:r>
        <w:t>…</w:t>
      </w:r>
    </w:p>
    <w:p w:rsidR="000A4F27" w:rsidRDefault="000A4F27" w:rsidP="000A4F27">
      <w:pPr>
        <w:ind w:left="720"/>
      </w:pPr>
      <w:r>
        <w:t xml:space="preserve">NEPA requires more than a statement that emissions from a proposed Federal action or  its alternatives represent only a small fraction of global or domestic emissions. Such a statement merely notes the nature of the climate change challenge, and is not a useful basis for deciding whether or to what extent to consider climate change effects under NEPA. Moreover, such comparisons and fractions also are not an appropriate method for characterizing the extent of a proposed action’s and its alternatives’ contributions to climate change because this approach does not reveal anything beyond the nature of the </w:t>
      </w:r>
      <w:r>
        <w:lastRenderedPageBreak/>
        <w:t>climate change challenge itself—the fact that diverse individual sources of emissions each make a relatively small addition to global atmospheric GHG concentrations that collectively have a large effect.</w:t>
      </w:r>
    </w:p>
    <w:p w:rsidR="000A4F27" w:rsidRDefault="000A4F27" w:rsidP="000A4F27">
      <w:pPr>
        <w:ind w:left="720"/>
      </w:pPr>
      <w:r>
        <w:t>Therefore, when considering GHG emissions and their significance, agencies should use appropriate tools and methodologies to quantify GHG emissions, compare GHG emission quantities across alternative scenarios (including the no action alternative), and place emissions in relevant context, including how they relate to climate action commitments and goals. This approach allows an agency to present the environmental and public health effects of a proposed action in clear terms and with sufficient information to make a reasoned choice between no action and other alternatives and appropriate mitigation measures. This approach will also ensure the professional and scientific integrity of the NEPA review.48</w:t>
      </w:r>
    </w:p>
    <w:p w:rsidR="000A4F27" w:rsidRDefault="000A4F27" w:rsidP="000A4F27">
      <w:pPr>
        <w:ind w:left="720"/>
      </w:pPr>
      <w:r>
        <w:t>As part of the NEPA documents they prepare, agencies should quantify the reasonably foreseeable gross GHG emissions increases and gross GHG emission reductions49 for the proposed action, no action alternative, and any reasonable alternatives over their projected lifetime, using reasonably available information and data.50</w:t>
      </w:r>
    </w:p>
    <w:p w:rsidR="000A4F27" w:rsidRDefault="000A4F27" w:rsidP="000A4F27">
      <w:pPr>
        <w:ind w:left="720"/>
      </w:pPr>
      <w:r>
        <w:t>…</w:t>
      </w:r>
    </w:p>
    <w:p w:rsidR="000A4F27" w:rsidRDefault="000A4F27" w:rsidP="000A4F27">
      <w:pPr>
        <w:ind w:left="720"/>
      </w:pPr>
      <w:r>
        <w:t>Quantification and assessment tools are widely available and are already in broad use in the Federal Government and private sector, by state and local governments, and globally. CEQ maintains a GHG Accounting Tools website listing many such tools.56 …</w:t>
      </w:r>
    </w:p>
    <w:p w:rsidR="000A4F27" w:rsidRDefault="000A4F27" w:rsidP="000A4F27">
      <w:pPr>
        <w:ind w:left="720"/>
      </w:pPr>
      <w:r>
        <w:t>…</w:t>
      </w:r>
    </w:p>
    <w:p w:rsidR="000A4F27" w:rsidRDefault="000A4F27" w:rsidP="000A4F27">
      <w:pPr>
        <w:ind w:left="720"/>
      </w:pPr>
      <w:r>
        <w:t>[A]</w:t>
      </w:r>
      <w:proofErr w:type="spellStart"/>
      <w:r>
        <w:t>gencies</w:t>
      </w:r>
      <w:proofErr w:type="spellEnd"/>
      <w:r>
        <w:t xml:space="preserve"> should use the following best practices, as relevant: (1) In most circumstances, once agencies have quantified GHG emissions, they should apply the best available estimates of the SC-GHG [Social Cost of Greenhouse Gases] 61 to the incremental metric tons of each individual type of GHG emissions62 expected from a proposed action and its alternatives. 63 SC-GHG estimates allow monetization (presented in U.S. dollars) of the climate change effects from the marginal or incremental emission of GHG emissions, …</w:t>
      </w:r>
    </w:p>
    <w:p w:rsidR="000A4F27" w:rsidRDefault="000A4F27" w:rsidP="000A4F27">
      <w:pPr>
        <w:ind w:left="720"/>
      </w:pPr>
      <w:r>
        <w:t>…</w:t>
      </w:r>
    </w:p>
    <w:p w:rsidR="000A4F27" w:rsidRDefault="000A4F27" w:rsidP="000A4F27">
      <w:pPr>
        <w:ind w:left="720"/>
      </w:pPr>
      <w:r>
        <w:t>SC-GHG estimates can help describe the net social costs of increasing GHG emissions as well as the net social benefits of reducing such emissions. Given NEPA’s mandates to consider worldwide and long-range environmental problems,68 it is most appropriate for agencies to focus on SCGHG estimates that capture global climate damages and, consistent with the best available science, reflect a timespan covering the vast majority of effects and discount future effects at rates that consider future generations. It is often also worth affirming that SC-GHG estimates, including those available at the publication of this guidance, may be conservative underestimates because various damage categories (like ocean acidification) are not currently included.</w:t>
      </w:r>
    </w:p>
    <w:p w:rsidR="000A4F27" w:rsidRDefault="000A4F27" w:rsidP="000A4F27">
      <w:pPr>
        <w:ind w:left="720"/>
      </w:pPr>
      <w:r>
        <w:t>… [A]</w:t>
      </w:r>
      <w:proofErr w:type="spellStart"/>
      <w:r>
        <w:t>gencies</w:t>
      </w:r>
      <w:proofErr w:type="spellEnd"/>
      <w:r>
        <w:t xml:space="preserve"> should explain how the proposed action and alternatives would help meet or detract from achieving relevant climate action goals and commitments, including Federal goals, international agreements, state or regional goals, Tribal goals, agency-specific goals, or others as appropriate.69 However, as explained above, NEPA requires more than a statement that emissions from a proposed Federal action or its alternatives represent only a small fraction of global or domestic emissions.</w:t>
      </w:r>
    </w:p>
    <w:p w:rsidR="000A4F27" w:rsidRDefault="000A4F27" w:rsidP="000A4F27">
      <w:pPr>
        <w:ind w:left="720"/>
      </w:pPr>
      <w:r>
        <w:t>…</w:t>
      </w:r>
    </w:p>
    <w:p w:rsidR="000A4F27" w:rsidRPr="000741D0" w:rsidRDefault="000A4F27" w:rsidP="000A4F27">
      <w:pPr>
        <w:ind w:left="720"/>
        <w:rPr>
          <w:b/>
        </w:rPr>
      </w:pPr>
      <w:r w:rsidRPr="000741D0">
        <w:rPr>
          <w:b/>
        </w:rPr>
        <w:lastRenderedPageBreak/>
        <w:t xml:space="preserve">Reasonable Alternatives </w:t>
      </w:r>
    </w:p>
    <w:p w:rsidR="000A4F27" w:rsidRDefault="000A4F27" w:rsidP="000A4F27">
      <w:pPr>
        <w:ind w:left="720"/>
      </w:pPr>
      <w:r>
        <w:t xml:space="preserve">Considering reasonable alternatives, including alternatives that avoid or mitigate GHG emissions, is fundamental to the NEPA process and accords with Sections 102(2)(C) and 102(2)(E) of NEPA, which independently require the consideration of alternatives in environmental documents.74 NEPA calls upon agencies to use the NEPA process to identify and assess the reasonable alternatives to proposed actions that will avoid or minimize adverse effects on the human environment.75 </w:t>
      </w:r>
    </w:p>
    <w:p w:rsidR="000A4F27" w:rsidRDefault="000A4F27" w:rsidP="000A4F27">
      <w:pPr>
        <w:ind w:left="720"/>
      </w:pPr>
      <w:r>
        <w:t xml:space="preserve">Consideration of alternatives provides an agency decision maker the information needed to examine other possible approaches to a particular proposed action (including the no action alternative) that could alter environmental effects or the balance of factors considered in making the decision. Agencies make better informed decisions by comparing relevant GHG emissions, GHG emission reductions, and carbon sequestration potential across reasonable alternatives, assessing trade-offs with other environmental values, and evaluating the risks from or resilience to climate change inherent in a proposed action and its design. </w:t>
      </w:r>
    </w:p>
    <w:p w:rsidR="000A4F27" w:rsidRDefault="000A4F27" w:rsidP="000A4F27">
      <w:pPr>
        <w:ind w:left="720"/>
      </w:pPr>
      <w:r>
        <w:t>Agencies must consider a range of reasonable alternatives, as well as reasonable mitigation measures if not already included in the proposed action or alternatives, consistent with the level of NEPA review (e.g., EA or EIS) and the purpose and need for the proposed action.76</w:t>
      </w:r>
    </w:p>
    <w:p w:rsidR="000A4F27" w:rsidRDefault="000A4F27" w:rsidP="000A4F27">
      <w:pPr>
        <w:ind w:left="720"/>
      </w:pPr>
      <w:r>
        <w:t>…</w:t>
      </w:r>
    </w:p>
    <w:p w:rsidR="000A4F27" w:rsidRDefault="000A4F27" w:rsidP="000A4F27">
      <w:pPr>
        <w:ind w:left="720"/>
      </w:pPr>
      <w:r w:rsidRPr="00555091">
        <w:rPr>
          <w:b/>
        </w:rPr>
        <w:t>Mitigation</w:t>
      </w:r>
      <w:r>
        <w:t xml:space="preserve"> </w:t>
      </w:r>
    </w:p>
    <w:p w:rsidR="000A4F27" w:rsidRDefault="000A4F27" w:rsidP="000A4F27">
      <w:pPr>
        <w:ind w:left="720"/>
      </w:pPr>
      <w:r>
        <w:t>Identifying and analyzing potential mitigation measures is an important component of the NEPA process.105 Evaluating potential mitigation measures generally involves first determining whether impacts from a proposed action or alternatives can be avoided, then considering whether adverse impacts can be minimized, then, when impacts are unavoidable, rectifying them and, if appropriate, requiring compensation for residual impacts.106 Mitigation plays a particularly important role in how agencies should assess the potential climate change effects of proposed actions and reasonable alternatives. Agencies should consider mitigation measures that will avoid or reduce GHG emissions. Given the urgency of the climate crisis, CEQ encourages agencies to mitigate GHG emissions to the greatest extent possible.</w:t>
      </w:r>
    </w:p>
    <w:p w:rsidR="000A4F27" w:rsidRDefault="000A4F27" w:rsidP="000A4F27">
      <w:pPr>
        <w:ind w:left="720"/>
      </w:pPr>
      <w:r>
        <w:t>…</w:t>
      </w:r>
    </w:p>
    <w:p w:rsidR="000A4F27" w:rsidRDefault="000A4F27" w:rsidP="000A4F27">
      <w:pPr>
        <w:ind w:left="720"/>
        <w:rPr>
          <w:b/>
        </w:rPr>
      </w:pPr>
      <w:r w:rsidRPr="00555091">
        <w:rPr>
          <w:b/>
        </w:rPr>
        <w:t>Special Considerations for Biological GHG Sources and Sinks</w:t>
      </w:r>
    </w:p>
    <w:p w:rsidR="000A4F27" w:rsidRDefault="000A4F27" w:rsidP="000A4F27">
      <w:pPr>
        <w:ind w:left="720"/>
      </w:pPr>
      <w:r w:rsidRPr="00555091">
        <w:t>…</w:t>
      </w:r>
    </w:p>
    <w:p w:rsidR="000A4F27" w:rsidRDefault="000A4F27" w:rsidP="000A4F27">
      <w:pPr>
        <w:ind w:left="720"/>
      </w:pPr>
      <w:r>
        <w:t>In NEPA reviews, for actions involving potential changes to biological GHG sources and sinks, agencies should include a comparison of net GHG emissions and carbon stock117 changes that are anticipated to occur, with and without implementation of the proposed action and reasonable alternatives. The analysis should consider the estimated GHG emissions (from biogenic and fossil-fuel sources), carbon sequestration potential, and the net change in relevant carbon stocks in light of the proposed actions and timeframes under consideration, and explain the basis for the analysis.</w:t>
      </w:r>
    </w:p>
    <w:p w:rsidR="000A4F27" w:rsidRDefault="000A4F27" w:rsidP="000A4F27">
      <w:pPr>
        <w:ind w:left="720"/>
      </w:pPr>
      <w:r>
        <w:t xml:space="preserve">Some actions that involve ecosystem restoration118 can generate short-term biogenic emissions while resulting in overall long-term net reductions of atmospheric GHG concentrations through increases in carbon stocks or reduced risks of future emissions. One example is certain vegetation management practices that affect the risk of wildfire, </w:t>
      </w:r>
      <w:r>
        <w:lastRenderedPageBreak/>
        <w:t>insect and disease outbreak, or other disturbance. Some resource management activities, such as a prescribed burn or certain non-commercial thinning of forests or grasslands conducted to reduce wildfire risk or insect infestations, might result in short-term GHG emissions or loss of stored carbon but greater long-term ecosystem health, including an overall net increase in carbon sequestration and storage. However, other types of land-use changes, such as permanent deforestation, can adversely alter ecosystem long-term carbon dynamics, resulting in net emissions. Agencies can use relevant tools to analyze the anticipated long-term GHG emissions implications from proposed ecosystem restoration actions.</w:t>
      </w:r>
    </w:p>
    <w:p w:rsidR="000A4F27" w:rsidRDefault="000A4F27" w:rsidP="000A4F27">
      <w:pPr>
        <w:ind w:left="720"/>
      </w:pPr>
      <w:r>
        <w:t xml:space="preserve">Federal land and resource management agencies should consider developing and maintaining agency-specific principles and guidance for considering biological carbon in management and planning decisions. </w:t>
      </w:r>
      <w:proofErr w:type="spellStart"/>
      <w:r>
        <w:t>fn</w:t>
      </w:r>
      <w:proofErr w:type="spellEnd"/>
      <w:r>
        <w:t>/119. Such guidance can help address the importance of considering biogenic carbon fluxes and storage within the context of other management objectives and ecosystem service goals, …</w:t>
      </w:r>
    </w:p>
    <w:p w:rsidR="000A4F27" w:rsidRDefault="000A4F27" w:rsidP="000A4F27">
      <w:r>
        <w:t xml:space="preserve">Council on Environmental Quality 2023. National Environmental Policy Act Guidance on Consideration of Greenhouse Gas Emissions and Climate Change </w:t>
      </w:r>
      <w:hyperlink r:id="rId88" w:history="1">
        <w:r w:rsidRPr="00B07418">
          <w:rPr>
            <w:rStyle w:val="Hyperlink"/>
          </w:rPr>
          <w:t>https://www.federalregister.gov/documents/2023/01/09/2023-00158/national-environmental-policy-act-guidance-on-consideration-of-greenhouse-gas-emissions-and-climate</w:t>
        </w:r>
      </w:hyperlink>
      <w:r>
        <w:t xml:space="preserve">. </w:t>
      </w:r>
      <w:proofErr w:type="spellStart"/>
      <w:r>
        <w:t>fn</w:t>
      </w:r>
      <w:proofErr w:type="spellEnd"/>
      <w:r>
        <w:t xml:space="preserve">/119: See, e.g., USDA Forest Service, Considering Forest and Grassland Carbon in Land Management (2017), </w:t>
      </w:r>
      <w:hyperlink r:id="rId89" w:history="1">
        <w:r w:rsidRPr="00794D14">
          <w:rPr>
            <w:rStyle w:val="Hyperlink"/>
          </w:rPr>
          <w:t>https://www.fs.usda.gov/research/treesearch/54316</w:t>
        </w:r>
      </w:hyperlink>
      <w:r>
        <w:t xml:space="preserve">... (aka, </w:t>
      </w:r>
      <w:proofErr w:type="spellStart"/>
      <w:r w:rsidRPr="00437844">
        <w:t>Janowiak</w:t>
      </w:r>
      <w:proofErr w:type="spellEnd"/>
      <w:r w:rsidRPr="00437844">
        <w:t xml:space="preserve">, </w:t>
      </w:r>
      <w:r>
        <w:t xml:space="preserve">et al </w:t>
      </w:r>
      <w:r w:rsidRPr="00437844">
        <w:t>2017. Considering Forest and Grassland Carbon in Land Management. Gen. Tech. Rep. WO-95. Washington, D.C.: United States Department of Agriculture, Forest Service. 68 p.</w:t>
      </w:r>
      <w:r>
        <w:t xml:space="preserve"> </w:t>
      </w:r>
      <w:hyperlink r:id="rId90" w:history="1">
        <w:r w:rsidRPr="00794D14">
          <w:rPr>
            <w:rStyle w:val="Hyperlink"/>
          </w:rPr>
          <w:t>https://www.fs.usda.gov/research/publications/gtr/gtr_wo95.pdf</w:t>
        </w:r>
      </w:hyperlink>
      <w:r>
        <w:t xml:space="preserve">.) </w:t>
      </w:r>
    </w:p>
    <w:p w:rsidR="000A4F27" w:rsidRDefault="000A4F27" w:rsidP="000A4F27"/>
    <w:p w:rsidR="000C35A9" w:rsidRDefault="000A4F27" w:rsidP="000A4F27">
      <w:r>
        <w:t>The Jan. 9, 2023 Federal Register notice says “</w:t>
      </w:r>
      <w:r w:rsidRPr="00855FEF">
        <w:t>This interim guidance is effective immediately.</w:t>
      </w:r>
      <w:r>
        <w:t xml:space="preserve"> … This interim [15] GHG guidance, effective upon publication, builds upon and updates CEQ's </w:t>
      </w:r>
      <w:hyperlink r:id="rId91" w:history="1">
        <w:r w:rsidRPr="00C54132">
          <w:rPr>
            <w:rStyle w:val="Hyperlink"/>
          </w:rPr>
          <w:t>2016 Final Guidance</w:t>
        </w:r>
      </w:hyperlink>
      <w:r>
        <w:t xml:space="preserve"> for Federal Departments and Agencies on Consideration of Greenhouse Gas Emissions and the Effects of Climate Change in National Environmental Policy Act Reviews … </w:t>
      </w:r>
      <w:r w:rsidRPr="00EC0D74">
        <w:t>This guidance applies longstanding NEPA principles to the analysis of climate change effects, which are a well-recognized category of effects on the human environment requiring consideration under NEPA</w:t>
      </w:r>
      <w:r>
        <w:t xml:space="preserve"> … </w:t>
      </w:r>
      <w:r w:rsidRPr="00EC0D74">
        <w:t>Agencies should use this guidance to inform the NEPA review for all new proposed actions. Agencies should exercise judgment when considering whether to apply this guidance to the extent practicable to an on-going NEPA process</w:t>
      </w:r>
      <w:r>
        <w:t xml:space="preserve"> …” </w:t>
      </w:r>
      <w:hyperlink r:id="rId92" w:history="1">
        <w:r w:rsidRPr="00605470">
          <w:rPr>
            <w:rStyle w:val="Hyperlink"/>
          </w:rPr>
          <w:t>https://www.federalregister.gov/documents/2023/01/09/2023-00158/national-environmental-policy-act-guidance-on-consideration-of-greenhouse-gas-emissions-and-climate</w:t>
        </w:r>
      </w:hyperlink>
      <w:r>
        <w:t xml:space="preserve">. </w:t>
      </w:r>
    </w:p>
    <w:p w:rsidR="00606E34" w:rsidRPr="009318B7" w:rsidRDefault="0054102F" w:rsidP="00606E34">
      <w:pPr>
        <w:pStyle w:val="Heading2"/>
      </w:pPr>
      <w:bookmarkStart w:id="35" w:name="_Toc176945822"/>
      <w:bookmarkStart w:id="36" w:name="_Toc176959876"/>
      <w:r>
        <w:t xml:space="preserve">The EA Needs to </w:t>
      </w:r>
      <w:r w:rsidR="00606E34" w:rsidRPr="009318B7">
        <w:t xml:space="preserve">Harmonize climate </w:t>
      </w:r>
      <w:r w:rsidR="00606E34">
        <w:t xml:space="preserve">change </w:t>
      </w:r>
      <w:r w:rsidR="00606E34" w:rsidRPr="009318B7">
        <w:t>mitigation and adaptation</w:t>
      </w:r>
      <w:bookmarkEnd w:id="35"/>
      <w:bookmarkEnd w:id="36"/>
    </w:p>
    <w:p w:rsidR="00606E34" w:rsidRDefault="00606E34" w:rsidP="00606E34">
      <w:pPr>
        <w:rPr>
          <w:lang w:val="en-US"/>
        </w:rPr>
      </w:pPr>
      <w:r>
        <w:rPr>
          <w:lang w:val="en-US"/>
        </w:rPr>
        <w:t>The North Fork Smith EA says that the project area is experiencing stress from global climate change “</w:t>
      </w:r>
      <w:r w:rsidRPr="00606E34">
        <w:rPr>
          <w:lang w:val="en-US"/>
        </w:rPr>
        <w:t>The NF Smith Restoration project area is currently experiencing stress partly due to above-average temperatures, increased evapotranspiration, reduced precipitation during the growing season, and uncertainty associated with coastal fog band width and levels</w:t>
      </w:r>
      <w:r>
        <w:rPr>
          <w:lang w:val="en-US"/>
        </w:rPr>
        <w:t xml:space="preserve">.” But the EA does not fully disclose and consider the fact that logging will increase GHG emissions and exacerbate global climate change, and increase the stress on the ecosystems in the project area. </w:t>
      </w:r>
      <w:r w:rsidR="005A6160">
        <w:rPr>
          <w:lang w:val="en-US"/>
        </w:rPr>
        <w:lastRenderedPageBreak/>
        <w:t xml:space="preserve">So the proposed logging will </w:t>
      </w:r>
      <w:r w:rsidR="00B342BD">
        <w:rPr>
          <w:lang w:val="en-US"/>
        </w:rPr>
        <w:t xml:space="preserve">make climate stress worse instead of better. </w:t>
      </w:r>
      <w:r>
        <w:rPr>
          <w:lang w:val="en-US"/>
        </w:rPr>
        <w:t>Nor does the EA attempt to harmonize actions that will alleviate stress on ecosystems with actions that meet the compelling need for actions that will reduce and avoid carbon emissions.</w:t>
      </w:r>
    </w:p>
    <w:p w:rsidR="006B1710" w:rsidRDefault="006B1710" w:rsidP="00606E34">
      <w:pPr>
        <w:rPr>
          <w:lang w:val="en-US"/>
        </w:rPr>
      </w:pPr>
    </w:p>
    <w:p w:rsidR="006B1710" w:rsidRDefault="00337210" w:rsidP="00606E34">
      <w:pPr>
        <w:rPr>
          <w:lang w:val="en-US"/>
        </w:rPr>
      </w:pPr>
      <w:r>
        <w:rPr>
          <w:lang w:val="en-US"/>
        </w:rPr>
        <w:t>The EA says “</w:t>
      </w:r>
      <w:r w:rsidRPr="00337210">
        <w:rPr>
          <w:lang w:val="en-US"/>
        </w:rPr>
        <w:t>Thinning will improve long term resiliency and resistanc</w:t>
      </w:r>
      <w:r>
        <w:rPr>
          <w:lang w:val="en-US"/>
        </w:rPr>
        <w:t xml:space="preserve">e on over 4,100 acres of forest.” As explained below, </w:t>
      </w:r>
      <w:r w:rsidR="006B1710">
        <w:rPr>
          <w:lang w:val="en-US"/>
        </w:rPr>
        <w:t xml:space="preserve">the EA </w:t>
      </w:r>
      <w:r>
        <w:rPr>
          <w:lang w:val="en-US"/>
        </w:rPr>
        <w:t xml:space="preserve">fails to </w:t>
      </w:r>
      <w:r w:rsidR="006B1710">
        <w:rPr>
          <w:lang w:val="en-US"/>
        </w:rPr>
        <w:t xml:space="preserve">address significant new information indicating that trees are more stressed by warm and dry atmospheric conditions, rather than dry soil conditions, and the fact that logging will make the </w:t>
      </w:r>
      <w:r w:rsidR="00481E9B">
        <w:rPr>
          <w:lang w:val="en-US"/>
        </w:rPr>
        <w:t xml:space="preserve">air in the logged </w:t>
      </w:r>
      <w:r w:rsidR="006B1710">
        <w:rPr>
          <w:lang w:val="en-US"/>
        </w:rPr>
        <w:t>stand hooter and dryer</w:t>
      </w:r>
      <w:r w:rsidR="00481E9B">
        <w:rPr>
          <w:lang w:val="en-US"/>
        </w:rPr>
        <w:t xml:space="preserve"> which may increase rather than decrease climate stress</w:t>
      </w:r>
      <w:r w:rsidR="006B1710">
        <w:rPr>
          <w:lang w:val="en-US"/>
        </w:rPr>
        <w:t>.</w:t>
      </w:r>
      <w:r w:rsidR="00481E9B">
        <w:rPr>
          <w:lang w:val="en-US"/>
        </w:rPr>
        <w:t xml:space="preserve"> </w:t>
      </w:r>
    </w:p>
    <w:p w:rsidR="00606E34" w:rsidRDefault="00606E34" w:rsidP="00606E34"/>
    <w:p w:rsidR="00606E34" w:rsidRDefault="00606E34" w:rsidP="00606E34">
      <w:r>
        <w:t>The agency has decided that meeting the purpose of this project requires logging that will emit greenhouse gases to the atmosphere and which will exacerbate global climate change (and ironically increase the climate stress imposed on the forest). These are very significant effects that require an EIS and consideration of mitigating alternatives. The agency can mitigate the effects of logging-related GHG emissions by retaining more trees, thinning less aggressively, forgoing logging in some areas, etc.</w:t>
      </w:r>
    </w:p>
    <w:p w:rsidR="00606E34" w:rsidRDefault="00606E34" w:rsidP="00606E34"/>
    <w:p w:rsidR="00606E34" w:rsidRDefault="00606E34" w:rsidP="00606E34">
      <w:r>
        <w:t xml:space="preserve">NEPA mandates that an agency “shall to the fullest extent possible: use the NEPA process to identify and assess the reasonable alternatives to proposed actions that will avoid or minimize adverse effects of these action upon the quality of the human environment.” 40 C.F.R. § 1500.2(e). NEPA also requires the agency to “study, develop, and describe appropriate alternatives to the recommended courses of action in any proposal which involves unresolved conflicts concerning alternative uses of available resources as provided by section 102(2)(E) of the Act [NEPA].”40 C.F.R. § 1501.2 (c). All reasonable alternatives must receive a “rigorous exploration and objective evaluation ..., particularly those that might enhance environmental quality or avoid some or all of the adverse environmental effects.” </w:t>
      </w:r>
      <w:r>
        <w:rPr>
          <w:i/>
          <w:iCs/>
        </w:rPr>
        <w:t>Id</w:t>
      </w:r>
      <w:r>
        <w:t>. § 1500.8(a)(4).</w:t>
      </w:r>
    </w:p>
    <w:p w:rsidR="00606E34" w:rsidRDefault="00606E34" w:rsidP="00606E34"/>
    <w:p w:rsidR="00606E34" w:rsidRDefault="00606E34" w:rsidP="00606E34">
      <w:r>
        <w:t>T</w:t>
      </w:r>
      <w:r w:rsidRPr="003045FD">
        <w:t xml:space="preserve">he </w:t>
      </w:r>
      <w:r>
        <w:t>agency</w:t>
      </w:r>
      <w:r w:rsidRPr="003045FD">
        <w:t xml:space="preserve"> </w:t>
      </w:r>
      <w:r>
        <w:t xml:space="preserve">need to rethink its focus on </w:t>
      </w:r>
      <w:r w:rsidRPr="003045FD">
        <w:t>climate adaptation</w:t>
      </w:r>
      <w:r>
        <w:t>/resilience</w:t>
      </w:r>
      <w:r w:rsidRPr="003045FD">
        <w:t xml:space="preserve"> actions (such as density reduction with commercial log removal) that will actually increase carbon emissions</w:t>
      </w:r>
      <w:r>
        <w:t xml:space="preserve"> and exacerbate global climate change and reduce climate resilience, not just in the treated stands but around the world. The agencies instead need to design preferred </w:t>
      </w:r>
      <w:proofErr w:type="spellStart"/>
      <w:r>
        <w:t>alternaitves</w:t>
      </w:r>
      <w:proofErr w:type="spellEnd"/>
      <w:r>
        <w:t xml:space="preserve"> </w:t>
      </w:r>
      <w:r w:rsidRPr="003045FD">
        <w:t xml:space="preserve">that meaningfully harmonize </w:t>
      </w:r>
      <w:r>
        <w:t xml:space="preserve">climate change </w:t>
      </w:r>
      <w:r w:rsidRPr="003045FD">
        <w:t xml:space="preserve">adaptation and </w:t>
      </w:r>
      <w:r>
        <w:t xml:space="preserve">climate change </w:t>
      </w:r>
      <w:r w:rsidRPr="003045FD">
        <w:t xml:space="preserve">mitigation, such as non-commercial thinning + prescribed fire, increased riparian protection, </w:t>
      </w:r>
      <w:r>
        <w:t>conservation of mature, old-growth and unroaded areas</w:t>
      </w:r>
      <w:r w:rsidRPr="003045FD">
        <w:t>, road system rescaling and storm-proofing.</w:t>
      </w:r>
    </w:p>
    <w:p w:rsidR="00606E34" w:rsidRDefault="00606E34" w:rsidP="00606E34"/>
    <w:p w:rsidR="00606E34" w:rsidRDefault="00606E34" w:rsidP="00606E34">
      <w:r>
        <w:t xml:space="preserve">The agency should develop alternatives that harmonize potentially competing objectives of climate change mitigation, and climate change adaptation. </w:t>
      </w:r>
      <w:r w:rsidRPr="009524C3">
        <w:t xml:space="preserve">Climate change mitigation involves keeping carbon in the forest and avoiding GHG emissions to the atmosphere from logging. Climate change adaptation may involve a variety of actions that range from reducing stand density to reduce water stress </w:t>
      </w:r>
      <w:r>
        <w:t xml:space="preserve">in a warming world </w:t>
      </w:r>
      <w:r w:rsidRPr="009524C3">
        <w:t xml:space="preserve">to </w:t>
      </w:r>
      <w:r>
        <w:t xml:space="preserve">providing habitat redundancy and connectivity, and maintaining </w:t>
      </w:r>
      <w:r w:rsidRPr="009524C3">
        <w:t>cool/moist habitat refugia for wildlife that thrive in dense forests.</w:t>
      </w:r>
    </w:p>
    <w:p w:rsidR="00606E34" w:rsidRDefault="00606E34" w:rsidP="00606E34"/>
    <w:p w:rsidR="00606E34" w:rsidRDefault="00606E34" w:rsidP="00606E34">
      <w:r>
        <w:t xml:space="preserve">The Biden Administration has adopted a policy to both mitigate AND prepare for global climate change. </w:t>
      </w:r>
    </w:p>
    <w:p w:rsidR="00606E34" w:rsidRDefault="00606E34" w:rsidP="00465AB0">
      <w:pPr>
        <w:ind w:left="720"/>
      </w:pPr>
      <w:r>
        <w:lastRenderedPageBreak/>
        <w:t>“</w:t>
      </w:r>
      <w:r w:rsidRPr="00953D42">
        <w:t xml:space="preserve">It is, therefore, the policy of </w:t>
      </w:r>
      <w:r>
        <w:t xml:space="preserve">[the Biden] </w:t>
      </w:r>
      <w:r w:rsidRPr="00953D42">
        <w:t>Administration to listen to the science;</w:t>
      </w:r>
      <w:r>
        <w:t xml:space="preserve"> </w:t>
      </w:r>
      <w:r w:rsidRPr="00953D42">
        <w:t xml:space="preserve">to improve public health and protect our environment; to ensure access to clean air and water; </w:t>
      </w:r>
      <w:r>
        <w:t xml:space="preserve">… </w:t>
      </w:r>
      <w:r w:rsidRPr="00953D42">
        <w:t xml:space="preserve">to </w:t>
      </w:r>
      <w:r w:rsidRPr="00DB020A">
        <w:rPr>
          <w:b/>
        </w:rPr>
        <w:t>reduce greenhouse gas emissions; to bolster resilience</w:t>
      </w:r>
      <w:r w:rsidRPr="00953D42">
        <w:t xml:space="preserve"> to the impacts of climate change;</w:t>
      </w:r>
      <w:r>
        <w:t xml:space="preserve"> … </w:t>
      </w:r>
      <w:r w:rsidRPr="00953D42">
        <w:t xml:space="preserve">To that end, this order directs all executive departments and agencies (agencies) to immediately review and, as appropriate and consistent with applicable law, take action to address the promulgation of Federal regulations and other actions during the last 4 years that conflict with these </w:t>
      </w:r>
      <w:r w:rsidRPr="00DB020A">
        <w:rPr>
          <w:b/>
        </w:rPr>
        <w:t>important national objectives</w:t>
      </w:r>
      <w:r w:rsidRPr="00953D42">
        <w:t>, and to immediately commence work to confront the climate crisis.</w:t>
      </w:r>
      <w:r>
        <w:t xml:space="preserve">” </w:t>
      </w:r>
    </w:p>
    <w:p w:rsidR="00606E34" w:rsidRDefault="00606E34" w:rsidP="00606E34">
      <w:r>
        <w:t xml:space="preserve">Executive Order on Protecting Public Health and the Environment and Restoring Science to Tackle the Climate Crisis. JANUARY 20, 2021 </w:t>
      </w:r>
      <w:hyperlink r:id="rId93" w:history="1">
        <w:r w:rsidRPr="005A4030">
          <w:rPr>
            <w:rStyle w:val="Hyperlink"/>
          </w:rPr>
          <w:t>https://www.whitehouse.gov/briefing-room/presidential-actions/2021/01/20/executive-order-protecting-public-health-and-environment-and-restoring-science-to-tackle-climate-crisis/</w:t>
        </w:r>
      </w:hyperlink>
      <w:r>
        <w:t xml:space="preserve">. </w:t>
      </w:r>
      <w:r w:rsidRPr="00BD3A1C">
        <w:t>This requires careful balancing of sometimes competing objectives, such as retaining trees to store carbon, and thinning to reduce climate stresses.</w:t>
      </w:r>
      <w:r>
        <w:t xml:space="preserve"> The best harmony among these objectives is to retain medium and large trees that store the most carbon and provide the greatest ecosystem services, while thinning small trees removal of which will reduce climate stresses on the larger trees while emitting less carbon.</w:t>
      </w:r>
    </w:p>
    <w:p w:rsidR="00606E34" w:rsidRDefault="00606E34" w:rsidP="00606E34"/>
    <w:p w:rsidR="00606E34" w:rsidRDefault="00606E34" w:rsidP="00606E34">
      <w:r>
        <w:t>President Obama established a clear policy mandate to avoid, minimize, and rectify impacts of federal land use:</w:t>
      </w:r>
    </w:p>
    <w:p w:rsidR="00606E34" w:rsidRDefault="00606E34" w:rsidP="00606E34">
      <w:pPr>
        <w:ind w:left="720"/>
      </w:pPr>
      <w:r w:rsidRPr="00854807">
        <w:t>Section 1. Policy. It shall be the policy of the Departments of Defense, the Interior, and Agriculture; the Environmental Protection Agency; and the National Oceanic and Atmospheric Administration; and all bureaus or agencies within them (agencies); to avoid and then minimize harmful effects to land, water, wildlife, and other ecological resources (natural resources) caused by land- or water-disturbing activities, and to ensure that any remaining harmful effects are effectively addressed, consistent with existing mission and legal authorities. Agencies shall each adopt a clear and consistent approach for avoidance and minimization of, and compensatory mitigation for, the impacts of their activities and the projects they approve.</w:t>
      </w:r>
    </w:p>
    <w:p w:rsidR="00606E34" w:rsidRDefault="00606E34" w:rsidP="00606E34">
      <w:pPr>
        <w:ind w:left="720"/>
      </w:pPr>
      <w:r>
        <w:t>…</w:t>
      </w:r>
      <w:r w:rsidRPr="00A013CA">
        <w:t xml:space="preserve"> </w:t>
      </w:r>
      <w:r>
        <w:t xml:space="preserve">Sec 2. Definitions … </w:t>
      </w:r>
      <w:r w:rsidRPr="00854807">
        <w:t>(f) "Mitigation" means avoiding, minimizing, rectifying, reducing over time, and compensating for impacts on natural resources. As a practical matter, all of these actions are captured in the terms avoidance, minimization, and compensation. These three actions are generally applied sequentially, and therefore compensatory measures should normally not be considered until after all appropriate and practicable avoidance and minimization measures have been considered.</w:t>
      </w:r>
    </w:p>
    <w:p w:rsidR="00606E34" w:rsidRDefault="00606E34" w:rsidP="00606E34">
      <w:pPr>
        <w:ind w:left="720"/>
      </w:pPr>
      <w:r>
        <w:t>…</w:t>
      </w:r>
    </w:p>
    <w:p w:rsidR="00606E34" w:rsidRDefault="00606E34" w:rsidP="00606E34">
      <w:pPr>
        <w:ind w:left="720"/>
      </w:pPr>
      <w:r w:rsidRPr="00854807">
        <w:t>Sec. 3. Establishing Federal Principles for Mitigation.</w:t>
      </w:r>
      <w:r>
        <w:t xml:space="preserve"> … </w:t>
      </w:r>
      <w:r w:rsidRPr="00854807">
        <w:t>(b) Agencies' mitigation policies should establish a net benefit goal or, at a minimum, a no net loss goal for natural resources the agency manages that are important, scarce, or sensitive, or wherever doing so is consistent with agency mission and established natural resource objectives. When a resource's value is determined to be irreplaceable, the preferred means of achieving either of these goals is through avoidance, consistent with applicable legal authorities. Agencies should explicitly consider the extent to which the beneficial environmental outcomes that will be achieved are demonstrably new and would not have occurred in the absence of mitigation (i.e. additionality) when determining whether those measures adequately address impacts to natural resources.</w:t>
      </w:r>
    </w:p>
    <w:p w:rsidR="00606E34" w:rsidRDefault="00606E34" w:rsidP="00606E34">
      <w:r w:rsidRPr="00854807">
        <w:lastRenderedPageBreak/>
        <w:t>Presidential Memorandum: Mitigating Impacts on Natural Resources from Development and Encouraging Related Private Investment</w:t>
      </w:r>
      <w:r>
        <w:t xml:space="preserve">. Nov 3, 2015. </w:t>
      </w:r>
      <w:hyperlink r:id="rId94" w:history="1">
        <w:r w:rsidRPr="002467C3">
          <w:rPr>
            <w:rStyle w:val="Hyperlink"/>
          </w:rPr>
          <w:t>https://www.whitehouse.gov/the-press-office/2015/11/03/mitigating-impacts-natural-resources-development-and-encouraging-related</w:t>
        </w:r>
      </w:hyperlink>
      <w:r>
        <w:t xml:space="preserve"> In the context of climate change this means that greenhouse gas emissions should be avoided and that the climate forcing effects of any emissions that do occur must be mitigated.</w:t>
      </w:r>
    </w:p>
    <w:p w:rsidR="00606E34" w:rsidRDefault="00606E34" w:rsidP="00606E34"/>
    <w:p w:rsidR="00606E34" w:rsidRDefault="00606E34" w:rsidP="00606E34">
      <w:r>
        <w:t>Stein et al (2014) make the distinction between climate change mitigation and adaptation and the potential conflict between the two.</w:t>
      </w:r>
    </w:p>
    <w:p w:rsidR="00606E34" w:rsidRDefault="00606E34" w:rsidP="00606E34">
      <w:pPr>
        <w:ind w:left="720"/>
      </w:pPr>
      <w:r>
        <w:t>Climate change adaptation is the discipline that focuses on addressing these impacts. In contrast, climate change mitigation addresses the underlying causes of climate change, through a focus on reductions in greenhouse gas concentrations in the atmosphere. Confronting the climate crisis requires that we both address the underlying causes of climate change and simultaneously prepare for and adapt to current and future impacts. Accordingly, adaptation and mitigation must be viewed as essential complements, rather than as alternative approaches. Because greenhouse gas emissions and concentrations will dictate the type and magnitude of impacts to which we will need to adapt, the ability to successfully accomplish adaptation over the long term will be linked to the success of climate mitigation efforts (Warren et al. 2013).</w:t>
      </w:r>
    </w:p>
    <w:p w:rsidR="00606E34" w:rsidRDefault="00606E34" w:rsidP="00606E34">
      <w:pPr>
        <w:ind w:left="720"/>
      </w:pPr>
      <w:r>
        <w:t>…</w:t>
      </w:r>
    </w:p>
    <w:p w:rsidR="00606E34" w:rsidRDefault="00606E34" w:rsidP="00606E34">
      <w:pPr>
        <w:ind w:left="720"/>
      </w:pPr>
      <w:r>
        <w:t>Climate-smart conservation strategies must also take climate mitigation considerations into account. Although adaptation is about addressing the impacts of rapid climate change, adaptation actions should not aggravate the underlying problem of global warming. Indeed, minimizing the carbon footprint of adaptation actions can help society avoid the “worst-case” scenarios for climate change, which would make successful adaptation in human and natural systems difficult, if not impossible, to achieve. Ideally, adaptation efforts should contribute to meeting climate mitigation goals both by minimizing or reducing the greenhouse gas emissions from project operations, including from any construction and ongoing maintenance, as well as by managing natural systems in ways that sustain or enhance their ability to cycle, sequester, and store carbon.</w:t>
      </w:r>
    </w:p>
    <w:p w:rsidR="00606E34" w:rsidRDefault="00606E34" w:rsidP="00606E34">
      <w:pPr>
        <w:ind w:left="720"/>
      </w:pPr>
      <w:r>
        <w:t>…</w:t>
      </w:r>
    </w:p>
    <w:p w:rsidR="00606E34" w:rsidRDefault="00606E34" w:rsidP="00606E34">
      <w:pPr>
        <w:ind w:left="720"/>
      </w:pPr>
      <w:r>
        <w:t>Some of the most obvious synergies between adaptation and mitigation are those aimed at enhancing carbon stocks in natural forests, … Strategies for increasing the capture and storage of forest carbon include: avoiding deforestation; afforestation (i.e., establishment of trees in areas have not been forests or where forests have not been present for some time); decreasing forest harvest; and increasing forest growth (McKinley et al. 2011). Managing natural systems to provide carbon benefits must be carefully balanced, however, with other conservation and adaptation goals. …  Recent research, however, indicates that old trees “do not act simply as senescent carbon reservoirs” but actively fix larger amounts of carbon than smaller trees (</w:t>
      </w:r>
      <w:proofErr w:type="spellStart"/>
      <w:r>
        <w:t>Stephensen</w:t>
      </w:r>
      <w:proofErr w:type="spellEnd"/>
      <w:r>
        <w:t xml:space="preserve"> et al. 2014). This recognition highlights the important role that biodiversity-rich old-growth forests can play in sequestering carbon.</w:t>
      </w:r>
    </w:p>
    <w:p w:rsidR="00606E34" w:rsidRDefault="00606E34" w:rsidP="00606E34">
      <w:pPr>
        <w:ind w:left="720"/>
      </w:pPr>
      <w:r>
        <w:t>…</w:t>
      </w:r>
    </w:p>
    <w:p w:rsidR="00606E34" w:rsidRDefault="00606E34" w:rsidP="00606E34">
      <w:pPr>
        <w:ind w:left="720"/>
      </w:pPr>
      <w:r>
        <w:t xml:space="preserve">It is not always obvious, however, when conservation and climate mitigation efforts might be in alignment or in conflict. … Although there are clear synergies between </w:t>
      </w:r>
      <w:r>
        <w:lastRenderedPageBreak/>
        <w:t>adaptation and mitigation focused activities, managers will also need to carefully consider any trade-offs.</w:t>
      </w:r>
    </w:p>
    <w:p w:rsidR="00606E34" w:rsidRDefault="00606E34" w:rsidP="00606E34">
      <w:r>
        <w:t xml:space="preserve">Stein, B.A., P. Glick, N. </w:t>
      </w:r>
      <w:proofErr w:type="spellStart"/>
      <w:r>
        <w:t>Edelson</w:t>
      </w:r>
      <w:proofErr w:type="spellEnd"/>
      <w:r>
        <w:t xml:space="preserve">, and A. </w:t>
      </w:r>
      <w:proofErr w:type="spellStart"/>
      <w:r>
        <w:t>Staudt</w:t>
      </w:r>
      <w:proofErr w:type="spellEnd"/>
      <w:r>
        <w:t xml:space="preserve"> (eds.). 2014. Climate-Smart Conservation: Putting Adaptation Principles into Practice. National Wildlife Federation, Washington, D.C. </w:t>
      </w:r>
      <w:hyperlink r:id="rId95" w:history="1">
        <w:r>
          <w:rPr>
            <w:rStyle w:val="Hyperlink"/>
          </w:rPr>
          <w:t>https://www.nwf.org/~/media/PDFs/Global-Warming/2014/Climate-Smart-Conservation-Final_06-06-2014.pdf</w:t>
        </w:r>
      </w:hyperlink>
      <w:r>
        <w:t>.</w:t>
      </w:r>
    </w:p>
    <w:p w:rsidR="00606E34" w:rsidRDefault="00606E34" w:rsidP="00606E34"/>
    <w:p w:rsidR="00606E34" w:rsidRDefault="00606E34" w:rsidP="00606E34">
      <w:r>
        <w:t xml:space="preserve">Sometimes climate change mitigation and adaptation are in complete harmony, such as protecting riparian forests that both store carbon and buffer streams from hydrological extremes caused by climate change. See Justice et al. 2017. Can stream and riparian restoration offset climate change impacts to salmon populations? </w:t>
      </w:r>
      <w:r w:rsidRPr="00D65B2C">
        <w:t>Journal of Environmental Management 188 (2017) 212e227</w:t>
      </w:r>
      <w:r>
        <w:t xml:space="preserve"> </w:t>
      </w:r>
      <w:hyperlink r:id="rId96" w:history="1">
        <w:r w:rsidRPr="00463070">
          <w:rPr>
            <w:rStyle w:val="Hyperlink"/>
          </w:rPr>
          <w:t>https://www.critfc.org/wp-content/uploads/2017/01/JournalPost_Justice_etal2017.pdf</w:t>
        </w:r>
      </w:hyperlink>
      <w:r>
        <w:t xml:space="preserve">. However, there are also times when efforts directed at climate change adaptation conflict with climate change mitigation goals. For instance, some people argue that we should reduce the density of federal forests so they are more resilient to soil-water stress caused by global warming. However, forest density reduction will accelerate the transfer of carbon from the forest to the atmosphere where it will contribute to global climate change. </w:t>
      </w:r>
    </w:p>
    <w:p w:rsidR="00606E34" w:rsidRDefault="00606E34" w:rsidP="00606E34"/>
    <w:p w:rsidR="00606E34" w:rsidRDefault="00606E34" w:rsidP="00606E34">
      <w:r>
        <w:t xml:space="preserve">Logging and the entire wood products supply chain causes significant emissions of CO2, this makes fire worse in several ways. It not only warms the atmosphere and extends the fire season, CO2 is also a “floating fertilizer” that stimulates the growth of hazardous fuels. When the agency says they are logging to make the forest more resilient to climate change, they must address these countervailing risks, and consider alternatives that better harmonize climate change resilience/adaptation and climate change mitigation (emissions avoidance). Allen, R. J., Gomez, J., Horowitz, L. W., &amp; </w:t>
      </w:r>
      <w:proofErr w:type="spellStart"/>
      <w:r>
        <w:t>Shevliakova</w:t>
      </w:r>
      <w:proofErr w:type="spellEnd"/>
      <w:r>
        <w:t xml:space="preserve">, E. (2024). Enhanced future vegetation growth with elevated carbon dioxide concentrations could increase fire activity. </w:t>
      </w:r>
      <w:r>
        <w:rPr>
          <w:i/>
          <w:iCs/>
        </w:rPr>
        <w:t>Communications Earth &amp; Environment</w:t>
      </w:r>
      <w:r>
        <w:t xml:space="preserve">, </w:t>
      </w:r>
      <w:r>
        <w:rPr>
          <w:i/>
          <w:iCs/>
        </w:rPr>
        <w:t>5</w:t>
      </w:r>
      <w:r>
        <w:t xml:space="preserve">(1), 1-15. </w:t>
      </w:r>
      <w:hyperlink r:id="rId97" w:history="1">
        <w:r w:rsidRPr="00924053">
          <w:rPr>
            <w:rStyle w:val="Hyperlink"/>
          </w:rPr>
          <w:t>https://doi.org/10.1038/s43247-024-01228-7</w:t>
        </w:r>
      </w:hyperlink>
      <w:r>
        <w:t>.</w:t>
      </w:r>
      <w:r w:rsidRPr="009D231B">
        <w:t xml:space="preserve"> (“</w:t>
      </w:r>
      <w:r>
        <w:t xml:space="preserve">… </w:t>
      </w:r>
      <w:r w:rsidRPr="009D231B">
        <w:rPr>
          <w:rFonts w:cs="Segoe UI"/>
          <w:color w:val="222222"/>
          <w:shd w:val="clear" w:color="auto" w:fill="FFFFFF"/>
        </w:rPr>
        <w:t xml:space="preserve">the spatial pattern of the NPP response is quite similar to the corresponding spatial pattern of the </w:t>
      </w:r>
      <w:proofErr w:type="spellStart"/>
      <w:r w:rsidRPr="009D231B">
        <w:rPr>
          <w:rFonts w:cs="Segoe UI"/>
          <w:color w:val="222222"/>
          <w:shd w:val="clear" w:color="auto" w:fill="FFFFFF"/>
        </w:rPr>
        <w:t>fFire</w:t>
      </w:r>
      <w:proofErr w:type="spellEnd"/>
      <w:r w:rsidRPr="009D231B">
        <w:rPr>
          <w:rFonts w:cs="Segoe UI"/>
          <w:color w:val="222222"/>
          <w:shd w:val="clear" w:color="auto" w:fill="FFFFFF"/>
        </w:rPr>
        <w:t xml:space="preserve"> response (Fig. </w:t>
      </w:r>
      <w:hyperlink r:id="rId98" w:anchor="Fig2" w:history="1">
        <w:r w:rsidRPr="009D231B">
          <w:rPr>
            <w:rStyle w:val="Hyperlink"/>
            <w:rFonts w:cs="Segoe UI"/>
            <w:color w:val="006699"/>
            <w:shd w:val="clear" w:color="auto" w:fill="FFFFFF"/>
          </w:rPr>
          <w:t>2</w:t>
        </w:r>
      </w:hyperlink>
      <w:r w:rsidRPr="009D231B">
        <w:rPr>
          <w:rFonts w:cs="Segoe UI"/>
          <w:color w:val="222222"/>
          <w:shd w:val="clear" w:color="auto" w:fill="FFFFFF"/>
        </w:rPr>
        <w:t>)-not only for 1% per year CO</w:t>
      </w:r>
      <w:r w:rsidRPr="009D231B">
        <w:rPr>
          <w:rFonts w:cs="Segoe UI"/>
          <w:color w:val="222222"/>
          <w:shd w:val="clear" w:color="auto" w:fill="FFFFFF"/>
          <w:vertAlign w:val="subscript"/>
        </w:rPr>
        <w:t>2</w:t>
      </w:r>
      <w:r w:rsidRPr="009D231B">
        <w:rPr>
          <w:rFonts w:cs="Segoe UI"/>
          <w:color w:val="222222"/>
          <w:shd w:val="clear" w:color="auto" w:fill="FFFFFF"/>
        </w:rPr>
        <w:t> and 1% per year CO</w:t>
      </w:r>
      <w:r w:rsidRPr="009D231B">
        <w:rPr>
          <w:rFonts w:cs="Segoe UI"/>
          <w:color w:val="222222"/>
          <w:shd w:val="clear" w:color="auto" w:fill="FFFFFF"/>
          <w:vertAlign w:val="subscript"/>
        </w:rPr>
        <w:t>2</w:t>
      </w:r>
      <w:r w:rsidRPr="009D231B">
        <w:rPr>
          <w:rFonts w:cs="Segoe UI"/>
          <w:color w:val="222222"/>
          <w:shd w:val="clear" w:color="auto" w:fill="FFFFFF"/>
        </w:rPr>
        <w:t>-bgc, but interestingly also for 1% per year CO</w:t>
      </w:r>
      <w:r w:rsidRPr="009D231B">
        <w:rPr>
          <w:rFonts w:cs="Segoe UI"/>
          <w:color w:val="222222"/>
          <w:shd w:val="clear" w:color="auto" w:fill="FFFFFF"/>
          <w:vertAlign w:val="subscript"/>
        </w:rPr>
        <w:t>2</w:t>
      </w:r>
      <w:r w:rsidRPr="009D231B">
        <w:rPr>
          <w:rFonts w:cs="Segoe UI"/>
          <w:color w:val="222222"/>
          <w:shd w:val="clear" w:color="auto" w:fill="FFFFFF"/>
        </w:rPr>
        <w:t>-rad. This is also the case for other vegetation parameters, including leaf area index (LAI; Supplementary Figs. </w:t>
      </w:r>
      <w:hyperlink r:id="rId99" w:anchor="MOESM1" w:history="1">
        <w:r w:rsidRPr="009D231B">
          <w:rPr>
            <w:rStyle w:val="Hyperlink"/>
            <w:rFonts w:cs="Segoe UI"/>
            <w:color w:val="006699"/>
            <w:shd w:val="clear" w:color="auto" w:fill="FFFFFF"/>
          </w:rPr>
          <w:t>10</w:t>
        </w:r>
      </w:hyperlink>
      <w:r w:rsidRPr="009D231B">
        <w:rPr>
          <w:rFonts w:cs="Segoe UI"/>
          <w:color w:val="222222"/>
          <w:shd w:val="clear" w:color="auto" w:fill="FFFFFF"/>
        </w:rPr>
        <w:t>–</w:t>
      </w:r>
      <w:hyperlink r:id="rId100" w:anchor="MOESM1" w:history="1">
        <w:r w:rsidRPr="009D231B">
          <w:rPr>
            <w:rStyle w:val="Hyperlink"/>
            <w:rFonts w:cs="Segoe UI"/>
            <w:color w:val="006699"/>
            <w:shd w:val="clear" w:color="auto" w:fill="FFFFFF"/>
          </w:rPr>
          <w:t>11</w:t>
        </w:r>
      </w:hyperlink>
      <w:r w:rsidRPr="009D231B">
        <w:rPr>
          <w:rFonts w:cs="Segoe UI"/>
          <w:color w:val="222222"/>
          <w:shd w:val="clear" w:color="auto" w:fill="FFFFFF"/>
        </w:rPr>
        <w:t> and Supplementary Note </w:t>
      </w:r>
      <w:hyperlink r:id="rId101" w:anchor="MOESM1" w:history="1">
        <w:r w:rsidRPr="009D231B">
          <w:rPr>
            <w:rStyle w:val="Hyperlink"/>
            <w:rFonts w:cs="Segoe UI"/>
            <w:color w:val="006699"/>
            <w:shd w:val="clear" w:color="auto" w:fill="FFFFFF"/>
          </w:rPr>
          <w:t>4</w:t>
        </w:r>
      </w:hyperlink>
      <w:r w:rsidRPr="009D231B">
        <w:rPr>
          <w:rFonts w:cs="Segoe UI"/>
          <w:color w:val="222222"/>
          <w:shd w:val="clear" w:color="auto" w:fill="FFFFFF"/>
        </w:rPr>
        <w:t xml:space="preserve">). This implies that the increase in </w:t>
      </w:r>
      <w:proofErr w:type="spellStart"/>
      <w:r w:rsidRPr="009D231B">
        <w:rPr>
          <w:rFonts w:cs="Segoe UI"/>
          <w:color w:val="222222"/>
          <w:shd w:val="clear" w:color="auto" w:fill="FFFFFF"/>
        </w:rPr>
        <w:t>fFire</w:t>
      </w:r>
      <w:proofErr w:type="spellEnd"/>
      <w:r w:rsidRPr="009D231B">
        <w:rPr>
          <w:rFonts w:cs="Segoe UI"/>
          <w:color w:val="222222"/>
          <w:shd w:val="clear" w:color="auto" w:fill="FFFFFF"/>
        </w:rPr>
        <w:t xml:space="preserve"> is largely due to the increase in biomass production (i.e., more fuel to burn) and likewise for decreases. The corresponding correlations (between the NPP and </w:t>
      </w:r>
      <w:proofErr w:type="spellStart"/>
      <w:r w:rsidRPr="009D231B">
        <w:rPr>
          <w:rFonts w:cs="Segoe UI"/>
          <w:color w:val="222222"/>
          <w:shd w:val="clear" w:color="auto" w:fill="FFFFFF"/>
        </w:rPr>
        <w:t>fFire</w:t>
      </w:r>
      <w:proofErr w:type="spellEnd"/>
      <w:r w:rsidRPr="009D231B">
        <w:rPr>
          <w:rFonts w:cs="Segoe UI"/>
          <w:color w:val="222222"/>
          <w:shd w:val="clear" w:color="auto" w:fill="FFFFFF"/>
        </w:rPr>
        <w:t xml:space="preserve"> responses) across grid boxes yield significant positive MMM correlations at 0.34, 0.26 and 0.17 for 1% per year CO</w:t>
      </w:r>
      <w:r w:rsidRPr="009D231B">
        <w:rPr>
          <w:rFonts w:cs="Segoe UI"/>
          <w:color w:val="222222"/>
          <w:shd w:val="clear" w:color="auto" w:fill="FFFFFF"/>
          <w:vertAlign w:val="subscript"/>
        </w:rPr>
        <w:t>2</w:t>
      </w:r>
      <w:r w:rsidRPr="009D231B">
        <w:rPr>
          <w:rFonts w:cs="Segoe UI"/>
          <w:color w:val="222222"/>
          <w:shd w:val="clear" w:color="auto" w:fill="FFFFFF"/>
        </w:rPr>
        <w:t>, 1% per year CO</w:t>
      </w:r>
      <w:r w:rsidRPr="009D231B">
        <w:rPr>
          <w:rFonts w:cs="Segoe UI"/>
          <w:color w:val="222222"/>
          <w:shd w:val="clear" w:color="auto" w:fill="FFFFFF"/>
          <w:vertAlign w:val="subscript"/>
        </w:rPr>
        <w:t>2</w:t>
      </w:r>
      <w:r w:rsidRPr="009D231B">
        <w:rPr>
          <w:rFonts w:cs="Segoe UI"/>
          <w:color w:val="222222"/>
          <w:shd w:val="clear" w:color="auto" w:fill="FFFFFF"/>
        </w:rPr>
        <w:t>-bgc, and 1% per year CO</w:t>
      </w:r>
      <w:r w:rsidRPr="009D231B">
        <w:rPr>
          <w:rFonts w:cs="Segoe UI"/>
          <w:color w:val="222222"/>
          <w:shd w:val="clear" w:color="auto" w:fill="FFFFFF"/>
          <w:vertAlign w:val="subscript"/>
        </w:rPr>
        <w:t>2</w:t>
      </w:r>
      <w:r w:rsidRPr="009D231B">
        <w:rPr>
          <w:rFonts w:cs="Segoe UI"/>
          <w:color w:val="222222"/>
          <w:shd w:val="clear" w:color="auto" w:fill="FFFFFF"/>
        </w:rPr>
        <w:t>-rad, respectively. </w:t>
      </w:r>
      <w:r w:rsidRPr="009D231B">
        <w:t>”).</w:t>
      </w:r>
    </w:p>
    <w:p w:rsidR="00606E34" w:rsidRDefault="00606E34" w:rsidP="00606E34"/>
    <w:p w:rsidR="00606E34" w:rsidRDefault="00606E34" w:rsidP="00606E34">
      <w:r>
        <w:t>Federal agencies must strive to harmonize climate change mitigation (carbon storage or avoided emissions) and climate change adaptation (making ecosystems more resilient to climate change). For example, if the agency uses climate change adaptation as a rationale for forest thinning, they must not only fully disclose the increased GHG emissions caused by their proposal, they must also consider alternatives that harmonize these competing goals, such as by thinning very lightly and retaining all of the medium and large trees that store most of the carbon.</w:t>
      </w:r>
    </w:p>
    <w:p w:rsidR="00606E34" w:rsidRDefault="00606E34" w:rsidP="00606E34"/>
    <w:p w:rsidR="00606E34" w:rsidRDefault="00606E34" w:rsidP="00606E34">
      <w:r>
        <w:lastRenderedPageBreak/>
        <w:t xml:space="preserve">The Forest Service recognizes the need to optimize, rather than maximize, objectives on the National Forests. </w:t>
      </w:r>
    </w:p>
    <w:p w:rsidR="00606E34" w:rsidRPr="00011BAD" w:rsidRDefault="00606E34" w:rsidP="00606E34">
      <w:pPr>
        <w:shd w:val="clear" w:color="auto" w:fill="FFFFFF"/>
        <w:ind w:left="403"/>
        <w:rPr>
          <w:rFonts w:eastAsia="Times New Roman" w:cs="Segoe UI"/>
          <w:iCs/>
          <w:color w:val="1B1B1B"/>
        </w:rPr>
      </w:pPr>
      <w:r w:rsidRPr="00011BAD">
        <w:rPr>
          <w:rFonts w:eastAsia="Times New Roman" w:cs="Segoe UI"/>
          <w:i/>
          <w:iCs/>
          <w:color w:val="1B1B1B"/>
        </w:rPr>
        <w:t>Climate adaptation</w:t>
      </w:r>
    </w:p>
    <w:p w:rsidR="00606E34" w:rsidRPr="00011BAD" w:rsidRDefault="00606E34" w:rsidP="00606E34">
      <w:pPr>
        <w:shd w:val="clear" w:color="auto" w:fill="FFFFFF"/>
        <w:ind w:left="403"/>
        <w:rPr>
          <w:rFonts w:eastAsia="Times New Roman" w:cs="Segoe UI"/>
          <w:iCs/>
          <w:color w:val="1B1B1B"/>
        </w:rPr>
      </w:pPr>
      <w:r w:rsidRPr="00011BAD">
        <w:rPr>
          <w:rFonts w:eastAsia="Times New Roman" w:cs="Segoe UI"/>
          <w:iCs/>
          <w:color w:val="1B1B1B"/>
        </w:rPr>
        <w:t>Actions that provide adaptation benefits through reduced risk of unintended climate impacts can provide carbon benefits through avoided carbon emissions. Some disturbances or forest health issues may also decrease carbon uptake through plant growth. While not all adaptation actions provide carbon benefits, there are many actions that address risks to ecosystem health that sustain or improve the capacity of systems to sequester carbon.</w:t>
      </w:r>
    </w:p>
    <w:p w:rsidR="00606E34" w:rsidRPr="00011BAD" w:rsidRDefault="00606E34" w:rsidP="00606E34">
      <w:pPr>
        <w:shd w:val="clear" w:color="auto" w:fill="FFFFFF"/>
        <w:spacing w:before="240"/>
        <w:ind w:left="400"/>
        <w:rPr>
          <w:rFonts w:eastAsia="Times New Roman" w:cs="Segoe UI"/>
          <w:color w:val="1B1B1B"/>
        </w:rPr>
      </w:pPr>
      <w:r w:rsidRPr="00011BAD">
        <w:rPr>
          <w:rFonts w:eastAsia="Times New Roman" w:cs="Segoe UI"/>
          <w:i/>
          <w:iCs/>
          <w:color w:val="1B1B1B"/>
        </w:rPr>
        <w:t>Carbon optimization</w:t>
      </w:r>
    </w:p>
    <w:p w:rsidR="00606E34" w:rsidRDefault="00606E34" w:rsidP="00606E34">
      <w:pPr>
        <w:shd w:val="clear" w:color="auto" w:fill="FFFFFF"/>
        <w:ind w:left="400"/>
      </w:pPr>
      <w:r w:rsidRPr="00011BAD">
        <w:rPr>
          <w:rFonts w:eastAsia="Times New Roman" w:cs="Segoe UI"/>
          <w:color w:val="1B1B1B"/>
        </w:rPr>
        <w:t>While national forests and grasslands can play an important role in climate change mitigation through land management, balancing the numerous environmental benefits provided by healthy ecosystems is paramount to achieving our mission. Carbon stewardship aims to optimize carbon benefits on the landscape in a way that recognizes the importance of achieving other management objectives. Maximizing ecosystem carbon stocks can create undesirable tradeoffs with other environmental benefits, and in some landscapes may result in lower carbon benefits where carbon stability is compromised. Maximizing carbon is therefore not necessary, and is often counter to, achieving effective carbon stewardship.</w:t>
      </w:r>
    </w:p>
    <w:p w:rsidR="00606E34" w:rsidRDefault="00606E34" w:rsidP="00606E34">
      <w:r>
        <w:t xml:space="preserve">USDA Forest Service 2024. Sustainability and Climate website. </w:t>
      </w:r>
      <w:hyperlink r:id="rId102" w:history="1">
        <w:r w:rsidRPr="00A74AF6">
          <w:rPr>
            <w:rStyle w:val="Hyperlink"/>
          </w:rPr>
          <w:t>https://www.fs.usda.gov/managing-land/sustainability-and-climate/carbon</w:t>
        </w:r>
      </w:hyperlink>
      <w:r>
        <w:t xml:space="preserve">. The NEPA </w:t>
      </w:r>
      <w:proofErr w:type="spellStart"/>
      <w:r>
        <w:t>anlysis</w:t>
      </w:r>
      <w:proofErr w:type="spellEnd"/>
      <w:r>
        <w:t xml:space="preserve"> needs to reflect these nuances by harmonizing competing objectives. For instance, climate adaptation can be advanced in various ways, some of </w:t>
      </w:r>
      <w:proofErr w:type="spellStart"/>
      <w:r>
        <w:t>whcich</w:t>
      </w:r>
      <w:proofErr w:type="spellEnd"/>
      <w:r>
        <w:t xml:space="preserve"> emit more carbon (such as commercial logging), while others emit less carbon (such as non-commercial thinning and prescribed fire). The NEPA analysis should consider and weigh alternatives that highlight and resolve these trade-offs.</w:t>
      </w:r>
    </w:p>
    <w:p w:rsidR="00606E34" w:rsidRDefault="00606E34" w:rsidP="00606E34"/>
    <w:p w:rsidR="00606E34" w:rsidRDefault="00606E34" w:rsidP="00606E34">
      <w:r>
        <w:t xml:space="preserve">There may be climate benefits from thinning but there will also be climate trade-offs in the form of carbon emissions, unless thinning is done very early in stand development. </w:t>
      </w:r>
      <w:proofErr w:type="spellStart"/>
      <w:r>
        <w:t>Schaedel</w:t>
      </w:r>
      <w:proofErr w:type="spellEnd"/>
      <w:r>
        <w:t xml:space="preserve"> et al (2017) said --</w:t>
      </w:r>
    </w:p>
    <w:p w:rsidR="00606E34" w:rsidRDefault="00606E34" w:rsidP="00606E34">
      <w:pPr>
        <w:ind w:left="720"/>
      </w:pPr>
      <w:r>
        <w:t>Thinning in second growth forests is often suggested as a climate change adaptation strategy (Bradford and D’Amato, 2012; Churchill et al., 2013), because thinning can be used to promote the development of complex stand structures resilient to disturbances and drought. However, these climate change adaptation outcomes attainable with thinning generally require a tradeoff with climate change mitigation objectives: most studies have shown decreased forest C storage in thinned stands (Bradford and D’Amato, 2012).</w:t>
      </w:r>
    </w:p>
    <w:p w:rsidR="00606E34" w:rsidRDefault="00606E34" w:rsidP="00606E34">
      <w:pPr>
        <w:ind w:left="720"/>
      </w:pPr>
      <w:r>
        <w:t>...</w:t>
      </w:r>
    </w:p>
    <w:p w:rsidR="00606E34" w:rsidRDefault="00606E34" w:rsidP="00606E34">
      <w:pPr>
        <w:ind w:left="720"/>
      </w:pPr>
      <w:r>
        <w:t xml:space="preserve">We found that: (1) fifty-four years after PCT total aboveground C is similar across treatments, due primarily to the increase in mean tree C of trees grown at lower stand densities; (2) deadwood legacies from the pre-disturbance forest still play an important role in long-term C storage 62 years after current stand initiation, accounting for approximately 20–25% of aboveground C stores; and (3) given enough time since early thinning, there is no trade-off between managing stands to promote individual tree growth and development of understory vegetation, and maximizing stand level accumulation of aboveground C over the long term. We infer that </w:t>
      </w:r>
      <w:r w:rsidRPr="008906AC">
        <w:rPr>
          <w:u w:val="single"/>
        </w:rPr>
        <w:t xml:space="preserve">early PCT can be used </w:t>
      </w:r>
      <w:r w:rsidRPr="008906AC">
        <w:rPr>
          <w:u w:val="single"/>
        </w:rPr>
        <w:lastRenderedPageBreak/>
        <w:t>to simultaneously achieve climate change mitigation and adaptation objectives, provided treatments are implemented early in stand development before canopy closure</w:t>
      </w:r>
      <w:r>
        <w:t xml:space="preserve"> and the onset of intense </w:t>
      </w:r>
      <w:proofErr w:type="spellStart"/>
      <w:r>
        <w:t>intertree</w:t>
      </w:r>
      <w:proofErr w:type="spellEnd"/>
      <w:r>
        <w:t xml:space="preserve"> competition.</w:t>
      </w:r>
    </w:p>
    <w:p w:rsidR="00606E34" w:rsidRDefault="00606E34" w:rsidP="00606E34">
      <w:r>
        <w:t xml:space="preserve">Michael S. </w:t>
      </w:r>
      <w:proofErr w:type="spellStart"/>
      <w:r>
        <w:t>Schaedel</w:t>
      </w:r>
      <w:proofErr w:type="spellEnd"/>
      <w:r>
        <w:t xml:space="preserve">, Andrew J. Larson, David L.R. Affleck, R. Travis </w:t>
      </w:r>
      <w:proofErr w:type="spellStart"/>
      <w:r>
        <w:t>Belote</w:t>
      </w:r>
      <w:proofErr w:type="spellEnd"/>
      <w:r>
        <w:t xml:space="preserve">, John M. </w:t>
      </w:r>
      <w:proofErr w:type="spellStart"/>
      <w:r>
        <w:t>Goodburn</w:t>
      </w:r>
      <w:proofErr w:type="spellEnd"/>
      <w:r>
        <w:t>, Deborah S. Page-</w:t>
      </w:r>
      <w:proofErr w:type="spellStart"/>
      <w:r>
        <w:t>Dumroese</w:t>
      </w:r>
      <w:proofErr w:type="spellEnd"/>
      <w:r>
        <w:t xml:space="preserve">. 2017. Early forest thinning changes aboveground carbon distribution among pools, but not total amount. </w:t>
      </w:r>
      <w:r w:rsidRPr="008906AC">
        <w:t>Forest Ecology and Management 389 (2017) 187–198</w:t>
      </w:r>
      <w:r>
        <w:t xml:space="preserve">. </w:t>
      </w:r>
      <w:hyperlink r:id="rId103" w:history="1">
        <w:r w:rsidRPr="005B3760">
          <w:rPr>
            <w:rStyle w:val="Hyperlink"/>
          </w:rPr>
          <w:t>https://www.fs.fed.us/rm/pubs_journals/2017/rmrs_2017_schaedel_m001.pdf</w:t>
        </w:r>
      </w:hyperlink>
      <w:r>
        <w:t>. There are actually conflicting results on pre-commercial thinning ...</w:t>
      </w:r>
    </w:p>
    <w:p w:rsidR="00606E34" w:rsidRDefault="00606E34" w:rsidP="00606E34">
      <w:pPr>
        <w:ind w:left="720"/>
      </w:pPr>
      <w:r>
        <w:t>... precommercial thinning (PCT) when the thinned trees have no commercial value, show inconsistent results. Some PCT studies of this type found that decreasing stand density decreased total forest C stores (</w:t>
      </w:r>
      <w:proofErr w:type="spellStart"/>
      <w:r>
        <w:t>Skovsgaard</w:t>
      </w:r>
      <w:proofErr w:type="spellEnd"/>
      <w:r>
        <w:t xml:space="preserve"> et al., 2006; Jiménez et al., 2011), while others noted that the increased growth rate of trees grown at lower densities can maintain or increase live tree C (Hoover and Stout, 2007; Dwyer et al., 2010), especially in the case of longer-term responses to thinning (Horner et al., 2010). </w:t>
      </w:r>
      <w:r w:rsidRPr="009773A3">
        <w:rPr>
          <w:u w:val="single"/>
        </w:rPr>
        <w:t>Short-term studies of PCT effects on aboveground C have shown consistent decreases in aboveground C (Campbell et al., 2009; De las Heras et al., 2013; Jiménez et al., 2011; Dwyer et al., 2010), indicating that low densities of small trees do not fully occupy the site</w:t>
      </w:r>
      <w:r>
        <w:t xml:space="preserve"> (Turner et al., 2016). Given these conflicting results, it is still unclear whether PCT is compatible with the climate change mitigation goal of forest C storage (Jiménez et al., 2011).</w:t>
      </w:r>
    </w:p>
    <w:p w:rsidR="00606E34" w:rsidRDefault="00606E34" w:rsidP="00606E34">
      <w:r>
        <w:t>This is important because, even if thinning provides climate benefits in future decades, short-term carbon emissions conflict with climate policy priorities. The next few decades are critical to achieving goals related to decarbonizing our economy. Delayed climate benefits should be strongly discounted because we should have decarbonized our economy by then, so future effects are not nearly as important as near-term effects. If thinning causes a short-term pulse of GHG emissions, that’s a problem.</w:t>
      </w:r>
    </w:p>
    <w:p w:rsidR="00606E34" w:rsidRDefault="00606E34" w:rsidP="00606E34"/>
    <w:p w:rsidR="00606E34" w:rsidRDefault="00606E34" w:rsidP="00606E34">
      <w:r>
        <w:t>The Oregon Global Warming Commission’s Roadmap to 2020 (</w:t>
      </w:r>
      <w:hyperlink r:id="rId104" w:history="1">
        <w:r w:rsidRPr="00ED6DD3">
          <w:rPr>
            <w:rStyle w:val="Hyperlink"/>
          </w:rPr>
          <w:t>https://www.keeporegoncool.org/roadmap-to-2020/</w:t>
        </w:r>
      </w:hyperlink>
      <w:r>
        <w:t xml:space="preserve">) guides the state’s efforts to meet its legislatively mandated GHG emissions reduction goals, including broad objectives for increasing carbon storage in Oregon forests. </w:t>
      </w:r>
    </w:p>
    <w:p w:rsidR="00606E34" w:rsidRDefault="00606E34" w:rsidP="00606E34">
      <w:pPr>
        <w:ind w:left="720"/>
      </w:pPr>
      <w:r>
        <w:t xml:space="preserve">The Roadmap also set out general strategies for dry forests east of the Cascade Mountains versus moist west of the Cascades. Based on improved understanding of the carbon storage capacity of the state’s forests, the 2017 Global Warming Commission Report explained that, “The Roadmap sees ‘Eastside forests . . . managed primarily for ecosystem restoration, safety and </w:t>
      </w:r>
      <w:r w:rsidRPr="00B0294B">
        <w:rPr>
          <w:u w:val="single"/>
        </w:rPr>
        <w:t>climate adaptation with a minimum of incurred carbon (loss)</w:t>
      </w:r>
      <w:r>
        <w:t>. West-side forests (are) managed . . . to increase carbon storage . . . private forestlands (are) managed primarily for production of timber and wood products . . . ’ with carbon stores remaining stable or increasing”.</w:t>
      </w:r>
    </w:p>
    <w:p w:rsidR="00606E34" w:rsidRPr="00B63E33" w:rsidRDefault="00606E34" w:rsidP="00606E34">
      <w:pPr>
        <w:rPr>
          <w:rFonts w:eastAsia="Times New Roman" w:cs="Times New Roman"/>
          <w:color w:val="222222"/>
          <w:szCs w:val="24"/>
        </w:rPr>
      </w:pPr>
      <w:r w:rsidRPr="00B63E33">
        <w:rPr>
          <w:rFonts w:eastAsia="Times New Roman" w:cs="Times New Roman"/>
          <w:color w:val="222222"/>
          <w:szCs w:val="24"/>
        </w:rPr>
        <w:t xml:space="preserve">Fain, S.J.; Kittler, B.; </w:t>
      </w:r>
      <w:proofErr w:type="spellStart"/>
      <w:r w:rsidRPr="00B63E33">
        <w:rPr>
          <w:rFonts w:eastAsia="Times New Roman" w:cs="Times New Roman"/>
          <w:color w:val="222222"/>
          <w:szCs w:val="24"/>
        </w:rPr>
        <w:t>Chowyuk</w:t>
      </w:r>
      <w:proofErr w:type="spellEnd"/>
      <w:r w:rsidRPr="00B63E33">
        <w:rPr>
          <w:rFonts w:eastAsia="Times New Roman" w:cs="Times New Roman"/>
          <w:color w:val="222222"/>
          <w:szCs w:val="24"/>
        </w:rPr>
        <w:t xml:space="preserve">, A. Managing Moist Forests of the Pacific Northwest United States for Climate Positive Outcomes. Forests 2018; 9(10):618. </w:t>
      </w:r>
      <w:hyperlink r:id="rId105" w:history="1">
        <w:r w:rsidRPr="00B63E33">
          <w:rPr>
            <w:rStyle w:val="Hyperlink"/>
            <w:rFonts w:eastAsia="Times New Roman" w:cs="Times New Roman"/>
            <w:szCs w:val="24"/>
          </w:rPr>
          <w:t>https://www.mdpi.com/1999-4907/9/10/618</w:t>
        </w:r>
      </w:hyperlink>
      <w:r w:rsidRPr="00B63E33">
        <w:rPr>
          <w:rFonts w:eastAsia="Times New Roman" w:cs="Times New Roman"/>
          <w:color w:val="222222"/>
          <w:szCs w:val="24"/>
        </w:rPr>
        <w:t>. Following this strategy will require the agencies to retain all medium and large trees that store carbon and that do not pose a substantial fire hazard.</w:t>
      </w:r>
    </w:p>
    <w:p w:rsidR="00606E34" w:rsidRDefault="00606E34" w:rsidP="00606E34"/>
    <w:p w:rsidR="00606E34" w:rsidRDefault="00606E34" w:rsidP="00606E34">
      <w:r>
        <w:lastRenderedPageBreak/>
        <w:t>The Forest Service’s 2022 Climate Adaptation Strategy says that harmonizing climate change mitigation and climate change adaption is “complex problem” that requires “frank discussions.” This indicates a need for an EIS that carefully weighs and balances trade-offs:</w:t>
      </w:r>
    </w:p>
    <w:p w:rsidR="00606E34" w:rsidRDefault="00606E34" w:rsidP="00606E34">
      <w:pPr>
        <w:ind w:left="720"/>
      </w:pPr>
      <w:r>
        <w:t>Many forests with old-growth characteristics have a combination of higher carbon density and biodiversity that contributes to both carbon storage and climate resilience. They are often viewed as ideal candidates for increased conservation efforts, … Even so, as climate continues to deviate from historical norms, many of these forests are expected to be at increasing risk from acute and chronic disturbances such as drought, wildfires, and insect and disease outbreaks. As a result, climate-amplified disturbances like these have become the primary threat to old-growth stands on national forests. In response, Executive Order 14072 Strengthening the Nation’s Forests, Communities, and Local Economies emphasizes the climate-informed stewardship of mature and old-growth forests on Federal lands, as part of a science-based approach to maintain valued characteristics and reduce wildfire risk. There is no single “right answer” in addressing the complex problem, but the spirit and practice of shared  stewardship can help us generate the frank discussions necessary to consider values and risks as we find the best paths forward.</w:t>
      </w:r>
    </w:p>
    <w:p w:rsidR="00606E34" w:rsidRDefault="00606E34" w:rsidP="00606E34">
      <w:pPr>
        <w:ind w:left="720"/>
      </w:pPr>
      <w:r>
        <w:t>…</w:t>
      </w:r>
    </w:p>
    <w:p w:rsidR="00606E34" w:rsidRDefault="00606E34" w:rsidP="00606E34">
      <w:pPr>
        <w:ind w:left="720"/>
      </w:pPr>
      <w:r>
        <w:t xml:space="preserve">Unfortunately, many forests are increasingly vulnerable to climate-amplified impacts and stressors. If a forest is vulnerable, so is its carbon. Thoughtful carbon stewardship does not seek to maximize carbon at the expense of forest health but rather to optimize carbon within the context of ecosystem integrity and climate adaptation. Some forests, such as those at risk for high severity wildfire, might require hazardous fuels treatments and other forest health interventions that reduce carbon storage in the short term … </w:t>
      </w:r>
    </w:p>
    <w:p w:rsidR="00606E34" w:rsidRDefault="00606E34" w:rsidP="00606E34">
      <w:r>
        <w:t xml:space="preserve">USDA FOREST SERVICE CLIMATE ADAPTATION PLAN. </w:t>
      </w:r>
      <w:r w:rsidRPr="00BD4C85">
        <w:t>FS-1196 | July 2022</w:t>
      </w:r>
      <w:r>
        <w:t xml:space="preserve">. </w:t>
      </w:r>
      <w:hyperlink r:id="rId106" w:history="1">
        <w:r w:rsidRPr="00392686">
          <w:rPr>
            <w:rStyle w:val="Hyperlink"/>
          </w:rPr>
          <w:t>https://www.usda.gov/sites/default/files/documents/4_NRE_FS_ClimateAdaptationPlan_2022.pdf</w:t>
        </w:r>
      </w:hyperlink>
      <w:r>
        <w:t xml:space="preserve">. Any effort to optimize requires weighing the competing values. The NEPA analysis must document this process. The last sentence suggests that carbon emissions from fuel reduction are justified, but it can also be said that forgoing fuel reduction is justified in order to retain carbon and avoid GHG emissions. The Strategy offers no tools to resolve these competing views. Weighing these issues is an appropriate subject for a hard look under NEPA. </w:t>
      </w:r>
    </w:p>
    <w:p w:rsidR="00606E34" w:rsidRDefault="00606E34" w:rsidP="00606E34"/>
    <w:p w:rsidR="00606E34" w:rsidRDefault="00606E34" w:rsidP="00606E34">
      <w:r>
        <w:t>The agencies often claim that density reduction treatments are expected to increase the resiliency of treated stands to the projected effects of climate change. But this small increase in resiliency comes at a tremendous cost. The NEPA analysis needs to disclose and consider the fact that logging will result in greenhouse gas emissions that make climate change worse. Think about that trade-off. Logging might make a small area more resilient to climate change while making climate conditions (and ocean acidification) worse for ecosystems all over the rest of the world. This significant trade-off needs to be carefully evaluated in the NEPA document.</w:t>
      </w:r>
    </w:p>
    <w:p w:rsidR="00606E34" w:rsidRDefault="00606E34" w:rsidP="00606E34"/>
    <w:p w:rsidR="00606E34" w:rsidRDefault="00606E34" w:rsidP="00606E34">
      <w:r>
        <w:t xml:space="preserve">There is evidence that tree mortality is controlled more by low humidity than soil water availability, so thinning to increase soil water availability and drought resilience won’t do much good. Karla M. </w:t>
      </w:r>
      <w:proofErr w:type="spellStart"/>
      <w:r>
        <w:t>Jarecke</w:t>
      </w:r>
      <w:proofErr w:type="spellEnd"/>
      <w:r>
        <w:t xml:space="preserve">, </w:t>
      </w:r>
      <w:proofErr w:type="spellStart"/>
      <w:r>
        <w:t>Linnia</w:t>
      </w:r>
      <w:proofErr w:type="spellEnd"/>
      <w:r>
        <w:t xml:space="preserve"> R. Hawkins, Kevin D. </w:t>
      </w:r>
      <w:proofErr w:type="spellStart"/>
      <w:r>
        <w:t>Bladon</w:t>
      </w:r>
      <w:proofErr w:type="spellEnd"/>
      <w:r>
        <w:t xml:space="preserve">, Steven M. </w:t>
      </w:r>
      <w:proofErr w:type="spellStart"/>
      <w:r>
        <w:t>Wondzell</w:t>
      </w:r>
      <w:proofErr w:type="spellEnd"/>
      <w:r>
        <w:t xml:space="preserve"> 2023. Carbon uptake by Douglas-fir is more sensitive to increased temperature and vapor pressure deficit than reduced rainfall in the western Cascade Mountains, Oregon, USA. Agricultural and Forest </w:t>
      </w:r>
      <w:r>
        <w:lastRenderedPageBreak/>
        <w:t xml:space="preserve">Meteorology, Volume 329, 15 February 2023, 109267. </w:t>
      </w:r>
      <w:hyperlink r:id="rId107" w:history="1">
        <w:r w:rsidRPr="00524283">
          <w:rPr>
            <w:rStyle w:val="Hyperlink"/>
          </w:rPr>
          <w:t>https://www.sciencedirect.com/science/article/abs/pii/S0168192322004543</w:t>
        </w:r>
      </w:hyperlink>
      <w:r>
        <w:t xml:space="preserve">. This undercuts the </w:t>
      </w:r>
      <w:r w:rsidRPr="009C4AFB">
        <w:t>idea that logging is useful to increase forest resilience a</w:t>
      </w:r>
      <w:r>
        <w:t>nd adaptation to climate change.</w:t>
      </w:r>
      <w:r w:rsidRPr="009C4AFB">
        <w:t xml:space="preserve"> </w:t>
      </w:r>
      <w:r>
        <w:t xml:space="preserve">Such logging </w:t>
      </w:r>
      <w:r w:rsidRPr="009C4AFB">
        <w:t>just emits a lot of carbon and exacerbates climate change without actually increasing forests resilience. This is a highly unfavorable trade-off.</w:t>
      </w:r>
    </w:p>
    <w:p w:rsidR="00606E34" w:rsidRDefault="00606E34" w:rsidP="00606E34"/>
    <w:p w:rsidR="00606E34" w:rsidRDefault="00606E34" w:rsidP="00606E34">
      <w:r>
        <w:t>Even well-intentioned logging also has impacts that make ecosystems less resilient to climate change. For instance, (</w:t>
      </w:r>
      <w:proofErr w:type="spellStart"/>
      <w:r>
        <w:t>i</w:t>
      </w:r>
      <w:proofErr w:type="spellEnd"/>
      <w:r>
        <w:t xml:space="preserve">) roads and soil degradation make watershed less resilient to the expected effects of the amplified hydrologic cycle; (ii) reduction of complex forest structure and dense forest conditions makes certain species populations less resilient to climate change, including species associated with relatively dense forests and species associated with snags and dead wood. These species are already stressed by the cumulative effects of non-federal land management and fragmentation caused by past and ongoing management on federal  lands; (iii) Also, “High overstory density can be resilient” when ladder fuel are absent and there is a gap between surface and canopy fuels. Terrie Jain (2009) Logic Paths for Approaching Restoration: A Scientist’s Perspective,  from Workshop: Restoring Westside Dry Forests - Planning and Analysis for Restoring Westside Cascade Dry Forest Ecosystems: A focus on Systems Dominated by Douglas-fir, Ponderosa Pine, Incense Cedar, and so on. May 28, 2009.  </w:t>
      </w:r>
      <w:hyperlink r:id="rId108" w:history="1">
        <w:r w:rsidRPr="00522DD0">
          <w:rPr>
            <w:rStyle w:val="Hyperlink"/>
          </w:rPr>
          <w:t>http://ecoshare.info/projects/central-cascade- adaptive-management-partnership/workshops/restoring-westside- dry-forests/</w:t>
        </w:r>
      </w:hyperlink>
      <w:r>
        <w:t xml:space="preserve">. New information indicates that El </w:t>
      </w:r>
      <w:proofErr w:type="spellStart"/>
      <w:r>
        <w:t>Ninos</w:t>
      </w:r>
      <w:proofErr w:type="spellEnd"/>
      <w:r>
        <w:t xml:space="preserve"> will likely become stronger even if we are able to limited warming to 1.5 degrees C. </w:t>
      </w:r>
      <w:proofErr w:type="spellStart"/>
      <w:r>
        <w:t>Guojian</w:t>
      </w:r>
      <w:proofErr w:type="spellEnd"/>
      <w:r>
        <w:t xml:space="preserve"> Wang, et al. 2016. Continued increase of extreme El Niño frequency long after 1.5 °C warming stabilization. Nature Climate Change (2017). doi:10.1038/nclimate3351.  </w:t>
      </w:r>
      <w:hyperlink r:id="rId109" w:history="1">
        <w:r w:rsidRPr="000A208A">
          <w:rPr>
            <w:rStyle w:val="Hyperlink"/>
          </w:rPr>
          <w:t>https://www.nature.com/nclimate/journal/vaop/ncurrent/full/nclimate3351.html</w:t>
        </w:r>
      </w:hyperlink>
      <w:r>
        <w:t xml:space="preserve">. A bet-hedging strategy should retain trees of all sizes and stands of various densities. “Removal of most small trees to reduce wildfire risk may compromise the bet-hedging resilience, provided by small trees and diverse tree sizes and species, against a broad array of unpredictable future disturbances.” William L. Baker and Mark A. Williams. 2015. Bet-hedging dry-forest resilience to climate-change threats in the western USA based on historical forest structure. Front. Ecol. </w:t>
      </w:r>
      <w:proofErr w:type="spellStart"/>
      <w:r>
        <w:t>Evol</w:t>
      </w:r>
      <w:proofErr w:type="spellEnd"/>
      <w:r>
        <w:t xml:space="preserve">., 13 January 2015 | doi: 10.3389/fevo.2014.00088. </w:t>
      </w:r>
      <w:hyperlink r:id="rId110" w:history="1">
        <w:r w:rsidRPr="00522DD0">
          <w:rPr>
            <w:rStyle w:val="Hyperlink"/>
          </w:rPr>
          <w:t>http://journal.frontiersin.org/Journal/10.3389/fevo.2014.00088/full</w:t>
        </w:r>
      </w:hyperlink>
      <w:r>
        <w:t>.</w:t>
      </w:r>
    </w:p>
    <w:p w:rsidR="00606E34" w:rsidRDefault="00606E34" w:rsidP="00606E34"/>
    <w:p w:rsidR="00606E34" w:rsidRDefault="00606E34" w:rsidP="00606E34">
      <w:r>
        <w:t xml:space="preserve">Forests are already highly adaptable to climate change. There is evidence that a wide variety of different forest types are capturing and storing more carbon from the current </w:t>
      </w:r>
      <w:bookmarkStart w:id="37" w:name="_Hlk79743719"/>
      <w:r w:rsidRPr="00BC18A0">
        <w:t>CO</w:t>
      </w:r>
      <w:r w:rsidRPr="00BC18A0">
        <w:rPr>
          <w:vertAlign w:val="subscript"/>
        </w:rPr>
        <w:t>2</w:t>
      </w:r>
      <w:bookmarkEnd w:id="37"/>
      <w:r>
        <w:t xml:space="preserve"> enriched atmosphere. </w:t>
      </w:r>
      <w:r w:rsidRPr="001F7D50">
        <w:t xml:space="preserve">Davis, E.C., </w:t>
      </w:r>
      <w:proofErr w:type="spellStart"/>
      <w:r w:rsidRPr="001F7D50">
        <w:t>Sohngen</w:t>
      </w:r>
      <w:proofErr w:type="spellEnd"/>
      <w:r w:rsidRPr="001F7D50">
        <w:t xml:space="preserve">, B. &amp; Lewis, D.J. The effect of carbon fertilization on naturally regenerated and planted US forests. Nat </w:t>
      </w:r>
      <w:proofErr w:type="spellStart"/>
      <w:r w:rsidRPr="001F7D50">
        <w:t>Commun</w:t>
      </w:r>
      <w:proofErr w:type="spellEnd"/>
      <w:r w:rsidRPr="001F7D50">
        <w:t xml:space="preserve"> 13, 5490 (2022). </w:t>
      </w:r>
      <w:hyperlink r:id="rId111" w:history="1">
        <w:r w:rsidRPr="00597D30">
          <w:rPr>
            <w:rStyle w:val="Hyperlink"/>
          </w:rPr>
          <w:t>https://doi.org/10.1038/s41467-022-33196-x</w:t>
        </w:r>
      </w:hyperlink>
      <w:r>
        <w:t>. The temperate forest environment is and has always been highly dynamic. Forest species evolved over long periods that include significant changes in climate. The large and complex genomes of forest species may include the memory of which genes to turn on or off to increase survival during climate stress. Forest disturbance can take many forms and almost always creates new opportunities for better-adapted species to establish and thrive. Mortality from any cause thins the forest, reducing total demand for light, water, and nutrients, and increasing availability of those resources to surviving trees. Several mechanisms can trigger forest vegetation to adjust stomatal opening and use water more efficiently, e.g., due to CO2 enrichment of the atmosphere (</w:t>
      </w:r>
      <w:r w:rsidRPr="00037F37">
        <w:rPr>
          <w:rFonts w:ascii="Times New Roman" w:hAnsi="Times New Roman" w:cs="Times New Roman"/>
        </w:rPr>
        <w:t>Law, B.E.</w:t>
      </w:r>
      <w:r>
        <w:rPr>
          <w:rFonts w:ascii="Times New Roman" w:hAnsi="Times New Roman" w:cs="Times New Roman"/>
        </w:rPr>
        <w:t>,</w:t>
      </w:r>
      <w:r w:rsidRPr="00037F37">
        <w:rPr>
          <w:rFonts w:ascii="Times New Roman" w:hAnsi="Times New Roman" w:cs="Times New Roman"/>
        </w:rPr>
        <w:t xml:space="preserve"> Waring</w:t>
      </w:r>
      <w:r>
        <w:rPr>
          <w:rFonts w:ascii="Times New Roman" w:hAnsi="Times New Roman" w:cs="Times New Roman"/>
        </w:rPr>
        <w:t xml:space="preserve">, </w:t>
      </w:r>
      <w:r w:rsidRPr="00037F37">
        <w:rPr>
          <w:rFonts w:ascii="Times New Roman" w:hAnsi="Times New Roman" w:cs="Times New Roman"/>
        </w:rPr>
        <w:t xml:space="preserve">R.H. </w:t>
      </w:r>
      <w:r>
        <w:rPr>
          <w:rFonts w:ascii="Times New Roman" w:hAnsi="Times New Roman" w:cs="Times New Roman"/>
        </w:rPr>
        <w:t>2015.</w:t>
      </w:r>
      <w:r w:rsidRPr="00037F37">
        <w:rPr>
          <w:rFonts w:ascii="Times New Roman" w:hAnsi="Times New Roman" w:cs="Times New Roman"/>
        </w:rPr>
        <w:t xml:space="preserve"> Review </w:t>
      </w:r>
      <w:r w:rsidRPr="00037F37">
        <w:rPr>
          <w:rFonts w:ascii="Times New Roman" w:hAnsi="Times New Roman" w:cs="Times New Roman"/>
        </w:rPr>
        <w:lastRenderedPageBreak/>
        <w:t>and synthesis</w:t>
      </w:r>
      <w:r>
        <w:rPr>
          <w:rFonts w:ascii="Times New Roman" w:hAnsi="Times New Roman" w:cs="Times New Roman"/>
        </w:rPr>
        <w:t xml:space="preserve"> - </w:t>
      </w:r>
      <w:r w:rsidRPr="00037F37">
        <w:rPr>
          <w:rFonts w:ascii="Times New Roman" w:hAnsi="Times New Roman" w:cs="Times New Roman"/>
        </w:rPr>
        <w:t>Carbon implications of current and future effects of drought, fire</w:t>
      </w:r>
      <w:r>
        <w:rPr>
          <w:rFonts w:ascii="Times New Roman" w:hAnsi="Times New Roman" w:cs="Times New Roman"/>
        </w:rPr>
        <w:t xml:space="preserve"> </w:t>
      </w:r>
      <w:r w:rsidRPr="00037F37">
        <w:rPr>
          <w:rFonts w:ascii="Times New Roman" w:hAnsi="Times New Roman" w:cs="Times New Roman"/>
        </w:rPr>
        <w:t>and management on Pacific Northwest forests</w:t>
      </w:r>
      <w:r>
        <w:rPr>
          <w:rFonts w:ascii="Times New Roman" w:hAnsi="Times New Roman" w:cs="Times New Roman"/>
        </w:rPr>
        <w:t xml:space="preserve">. </w:t>
      </w:r>
      <w:r w:rsidRPr="00037F37">
        <w:rPr>
          <w:rFonts w:ascii="Times New Roman" w:hAnsi="Times New Roman" w:cs="Times New Roman"/>
        </w:rPr>
        <w:t>Forest Ecology and Management 355 (2015) 4–14</w:t>
      </w:r>
      <w:r>
        <w:rPr>
          <w:rFonts w:ascii="Times New Roman" w:hAnsi="Times New Roman" w:cs="Times New Roman"/>
        </w:rPr>
        <w:t xml:space="preserve">. </w:t>
      </w:r>
      <w:hyperlink r:id="rId112" w:history="1">
        <w:r>
          <w:rPr>
            <w:rStyle w:val="Hyperlink"/>
          </w:rPr>
          <w:t>http://people.forestry.oregonstate.edu/richard-waring/sites/people.forestry.oregonstate.edu.richard-waring/files/publications/Law%20and%20Waring%202015.pdf</w:t>
        </w:r>
      </w:hyperlink>
      <w:r>
        <w:t xml:space="preserve">), and due to chemical signaling of drought conditions. </w:t>
      </w:r>
      <w:r w:rsidRPr="00785710">
        <w:t xml:space="preserve">Xu, B., Long, Y., Feng, X. et al. GABA signaling modulates stomatal opening to enhance plant water use efficiency and drought resilience. Nat </w:t>
      </w:r>
      <w:proofErr w:type="spellStart"/>
      <w:r w:rsidRPr="00785710">
        <w:t>Commun</w:t>
      </w:r>
      <w:proofErr w:type="spellEnd"/>
      <w:r w:rsidRPr="00785710">
        <w:t xml:space="preserve"> 12, 1952 (2021). </w:t>
      </w:r>
      <w:hyperlink r:id="rId113" w:history="1">
        <w:r w:rsidRPr="002D729A">
          <w:rPr>
            <w:rStyle w:val="Hyperlink"/>
          </w:rPr>
          <w:t>https://doi.org/10.1038/s41467-021-21694-3</w:t>
        </w:r>
      </w:hyperlink>
      <w:r>
        <w:t xml:space="preserve">; </w:t>
      </w:r>
      <w:hyperlink r:id="rId114" w:history="1">
        <w:r w:rsidRPr="002D729A">
          <w:rPr>
            <w:rStyle w:val="Hyperlink"/>
          </w:rPr>
          <w:t>https://www.nature.com/articles/s41467-021-21694-3.pdf</w:t>
        </w:r>
      </w:hyperlink>
      <w:r>
        <w:t>. For all these reasons, it is wise to focus on climate mitigation by conserving forests and allowing them to store more carbon. Climate adaptation will take care of itself. Forests are self-organizing systems that adapt to changing conditions without the need for logging.</w:t>
      </w:r>
    </w:p>
    <w:p w:rsidR="00606E34" w:rsidRDefault="00606E34" w:rsidP="00606E34"/>
    <w:p w:rsidR="00606E34" w:rsidRDefault="00606E34" w:rsidP="00606E34">
      <w:r>
        <w:t xml:space="preserve">Also, wildfire is mostly climate driven, not fuel driven, and the actual effects of fuel reduction on the spatial extent of wildfires is highly variable and fairly modest. “Analysis of simulation results from the 14 wildfires indicates that fuels treatments reduced the average size of any given wildfire by an estimated 7.2%, with amount of change correlated with the proportion of the landscape treated (Spearman’s correlation </w:t>
      </w:r>
      <w:r>
        <w:rPr>
          <w:i/>
        </w:rPr>
        <w:t>p</w:t>
      </w:r>
      <w:r>
        <w:t xml:space="preserve">=0.692, n=14; P=0.008).” </w:t>
      </w:r>
      <w:r>
        <w:rPr>
          <w:color w:val="000000"/>
          <w:szCs w:val="24"/>
        </w:rPr>
        <w:t xml:space="preserve">M. A. Cochrane, C. J. Moran, M. C. </w:t>
      </w:r>
      <w:proofErr w:type="spellStart"/>
      <w:r>
        <w:rPr>
          <w:color w:val="000000"/>
          <w:szCs w:val="24"/>
        </w:rPr>
        <w:t>Wimberly</w:t>
      </w:r>
      <w:proofErr w:type="spellEnd"/>
      <w:r>
        <w:rPr>
          <w:color w:val="000000"/>
          <w:szCs w:val="24"/>
        </w:rPr>
        <w:t xml:space="preserve">, A. D. Baer, M. A. Finney, K. L. </w:t>
      </w:r>
      <w:proofErr w:type="spellStart"/>
      <w:r>
        <w:rPr>
          <w:color w:val="000000"/>
          <w:szCs w:val="24"/>
        </w:rPr>
        <w:t>Beckendorf</w:t>
      </w:r>
      <w:proofErr w:type="spellEnd"/>
      <w:r>
        <w:rPr>
          <w:color w:val="000000"/>
          <w:szCs w:val="24"/>
        </w:rPr>
        <w:t xml:space="preserve">, J. </w:t>
      </w:r>
      <w:proofErr w:type="spellStart"/>
      <w:r>
        <w:rPr>
          <w:color w:val="000000"/>
          <w:szCs w:val="24"/>
        </w:rPr>
        <w:t>Eidenshink</w:t>
      </w:r>
      <w:proofErr w:type="spellEnd"/>
      <w:r>
        <w:rPr>
          <w:color w:val="000000"/>
          <w:szCs w:val="24"/>
        </w:rPr>
        <w:t xml:space="preserve">, and Z. Zhu. 2012. Estimation of wildfire size and risk changes due to fuels treatments. International Journal of Wildland </w:t>
      </w:r>
      <w:r>
        <w:rPr>
          <w:color w:val="000000"/>
        </w:rPr>
        <w:t xml:space="preserve"> F</w:t>
      </w:r>
      <w:r>
        <w:rPr>
          <w:color w:val="000000"/>
          <w:szCs w:val="24"/>
        </w:rPr>
        <w:t>ire. </w:t>
      </w:r>
      <w:r>
        <w:rPr>
          <w:color w:val="000000"/>
        </w:rPr>
        <w:t xml:space="preserve"> </w:t>
      </w:r>
      <w:hyperlink r:id="rId115" w:history="1">
        <w:r w:rsidRPr="00CE3802">
          <w:rPr>
            <w:rStyle w:val="Hyperlink"/>
            <w:szCs w:val="24"/>
          </w:rPr>
          <w:t>http://dx.doi.org/10.1071/WF11079</w:t>
        </w:r>
      </w:hyperlink>
      <w:r>
        <w:rPr>
          <w:color w:val="000000"/>
          <w:szCs w:val="24"/>
        </w:rPr>
        <w:t>. </w:t>
      </w:r>
      <w:hyperlink r:id="rId116" w:history="1">
        <w:r>
          <w:rPr>
            <w:rStyle w:val="Hyperlink"/>
            <w:szCs w:val="24"/>
          </w:rPr>
          <w:t>http://www.publish.csiro.au/?act=view_file&amp;file_id=WF11079.pdf</w:t>
        </w:r>
      </w:hyperlink>
      <w:r>
        <w:rPr>
          <w:rFonts w:ascii="Arial" w:hAnsi="Arial"/>
          <w:color w:val="000000"/>
          <w:szCs w:val="24"/>
        </w:rPr>
        <w:t>.</w:t>
      </w:r>
      <w:r>
        <w:rPr>
          <w:color w:val="000000"/>
          <w:szCs w:val="24"/>
        </w:rPr>
        <w:t xml:space="preserve"> </w:t>
      </w:r>
      <w:r>
        <w:t>This raises a serious question whether the modest increase in resilience really justifies the adverse effects of landscape fuel treatments on climate, wildlife, soil, water, etc.</w:t>
      </w:r>
    </w:p>
    <w:p w:rsidR="00606E34" w:rsidRDefault="00606E34" w:rsidP="00606E34"/>
    <w:p w:rsidR="00606E34" w:rsidRDefault="00606E34" w:rsidP="00606E34">
      <w:r>
        <w:t>When all these trade-offs are considered, we feel that climate change mitigation should receive emphasis over climate adaptation on federal land management (especially when adaptation efforts come with significant trade-offs). When climate change mitigation and adaptation may be in conflict, the agency needs to focus on reducing GHG emissions (or maintaining carbon stores). These mitigation actions are more important because (</w:t>
      </w:r>
      <w:proofErr w:type="spellStart"/>
      <w:r>
        <w:t>i</w:t>
      </w:r>
      <w:proofErr w:type="spellEnd"/>
      <w:r>
        <w:t>) mitigation is shown to be more challenging (institutionally) and it is perennially under-achieved, (ii) mitigation has global benefits, and (iii) mitigation ultimately reduces the need for adaptation. An emphasis on mitigation is in accord with international law, e.g. the European Convention on Human Rights:</w:t>
      </w:r>
    </w:p>
    <w:p w:rsidR="00606E34" w:rsidRDefault="00606E34" w:rsidP="00606E34">
      <w:pPr>
        <w:ind w:left="720"/>
      </w:pPr>
      <w:r w:rsidRPr="00416D8E">
        <w:t xml:space="preserve">The court </w:t>
      </w:r>
      <w:proofErr w:type="spellStart"/>
      <w:r w:rsidRPr="00416D8E">
        <w:t>emphasises</w:t>
      </w:r>
      <w:proofErr w:type="spellEnd"/>
      <w:r w:rsidRPr="00416D8E">
        <w:t xml:space="preserve"> that the [State’s duty of care] first and foremost should concern mitigation measures, as adaptation measures will only allow the State to protect its citizens from the consequences of climate change to a limited level. If the current greenhouse gas emissions continue in the same manner, global warming will take such a form that the costs of adaptation will become disproportionately high. Adaptation measures will therefore not be sufficient to protect citizens against the aforementioned consequences in the long term. The only effective remedy against hazardous climate change is to reduce the emission of greenhouse gases.</w:t>
      </w:r>
    </w:p>
    <w:p w:rsidR="00606E34" w:rsidRDefault="00606E34" w:rsidP="00606E34">
      <w:pPr>
        <w:tabs>
          <w:tab w:val="left" w:pos="2204"/>
        </w:tabs>
      </w:pPr>
      <w:proofErr w:type="spellStart"/>
      <w:r w:rsidRPr="00416D8E">
        <w:rPr>
          <w:i/>
        </w:rPr>
        <w:t>Urgenda</w:t>
      </w:r>
      <w:proofErr w:type="spellEnd"/>
      <w:r w:rsidRPr="00416D8E">
        <w:rPr>
          <w:i/>
        </w:rPr>
        <w:t xml:space="preserve"> Foundation v. The State of the Netherlands</w:t>
      </w:r>
      <w:r>
        <w:t xml:space="preserve">. Hague Court of Appeal. October 9, 2018. </w:t>
      </w:r>
      <w:hyperlink r:id="rId117" w:history="1">
        <w:r w:rsidRPr="00A26D67">
          <w:rPr>
            <w:rStyle w:val="Hyperlink"/>
          </w:rPr>
          <w:t>https://uitspraken.rechtspraak.nl/inziendocument?id=ECLI:NL:RBDHA:2015:7196</w:t>
        </w:r>
      </w:hyperlink>
      <w:r>
        <w:t xml:space="preserve"> </w:t>
      </w:r>
    </w:p>
    <w:p w:rsidR="00606E34" w:rsidRDefault="00606E34" w:rsidP="00606E34"/>
    <w:p w:rsidR="00606E34" w:rsidRPr="00B342BD" w:rsidRDefault="00606E34" w:rsidP="00606E34">
      <w:pPr>
        <w:rPr>
          <w:rFonts w:cs="Times New Roman"/>
          <w:szCs w:val="24"/>
        </w:rPr>
      </w:pPr>
      <w:r w:rsidRPr="00B342BD">
        <w:rPr>
          <w:rFonts w:cs="Times New Roman"/>
          <w:szCs w:val="24"/>
        </w:rPr>
        <w:lastRenderedPageBreak/>
        <w:t>“</w:t>
      </w:r>
      <w:r w:rsidRPr="00B342BD">
        <w:rPr>
          <w:rFonts w:cs="Times New Roman"/>
          <w:color w:val="000000"/>
          <w:szCs w:val="24"/>
          <w:shd w:val="clear" w:color="auto" w:fill="FFFFFF"/>
        </w:rPr>
        <w:t xml:space="preserve">According to a recently published analysis, increasing carbon storage could lead to more favorable conditions for northern spotted owls, pileated woodpeckers, olive-sided flycatchers, Pacific marten and red tree voles. These species may benefit from management policies that favor less intensive logging and longer periods between tree harvests.” Nick </w:t>
      </w:r>
      <w:proofErr w:type="spellStart"/>
      <w:r w:rsidRPr="00B342BD">
        <w:rPr>
          <w:rFonts w:cs="Times New Roman"/>
          <w:color w:val="000000"/>
          <w:szCs w:val="24"/>
          <w:shd w:val="clear" w:color="auto" w:fill="FFFFFF"/>
        </w:rPr>
        <w:t>Houtman</w:t>
      </w:r>
      <w:proofErr w:type="spellEnd"/>
      <w:r w:rsidRPr="00B342BD">
        <w:rPr>
          <w:rFonts w:cs="Times New Roman"/>
          <w:color w:val="000000"/>
          <w:szCs w:val="24"/>
          <w:shd w:val="clear" w:color="auto" w:fill="FFFFFF"/>
        </w:rPr>
        <w:t xml:space="preserve"> 2016. Storing more carbon in western Cascades forests could benefit some wildlife species, not others. Phys.org News. November 17, 2016. </w:t>
      </w:r>
      <w:hyperlink r:id="rId118" w:history="1">
        <w:r w:rsidRPr="00B342BD">
          <w:rPr>
            <w:rStyle w:val="Hyperlink"/>
            <w:rFonts w:cs="Times New Roman"/>
            <w:szCs w:val="24"/>
          </w:rPr>
          <w:t>http://phys.org/news/2016-11-carbon-western-cascades-forests-benefit.html</w:t>
        </w:r>
      </w:hyperlink>
      <w:r w:rsidRPr="00B342BD">
        <w:rPr>
          <w:rFonts w:cs="Times New Roman"/>
          <w:szCs w:val="24"/>
        </w:rPr>
        <w:t xml:space="preserve">, </w:t>
      </w:r>
      <w:hyperlink r:id="rId119" w:history="1">
        <w:r w:rsidRPr="00B342BD">
          <w:rPr>
            <w:rStyle w:val="Hyperlink"/>
            <w:rFonts w:cs="Times New Roman"/>
            <w:szCs w:val="24"/>
          </w:rPr>
          <w:t>http://onlinelibrary.wiley.com/doi/10.1002/eap.1358/abstract</w:t>
        </w:r>
      </w:hyperlink>
      <w:r w:rsidRPr="00B342BD">
        <w:rPr>
          <w:rFonts w:cs="Times New Roman"/>
          <w:szCs w:val="24"/>
        </w:rPr>
        <w:t xml:space="preserve"> </w:t>
      </w:r>
    </w:p>
    <w:p w:rsidR="00606E34" w:rsidRDefault="00606E34" w:rsidP="00606E34">
      <w:pPr>
        <w:rPr>
          <w:rFonts w:ascii="Times New Roman" w:hAnsi="Times New Roman" w:cs="Times New Roman"/>
          <w:szCs w:val="24"/>
        </w:rPr>
      </w:pPr>
    </w:p>
    <w:p w:rsidR="00606E34" w:rsidRDefault="00606E34" w:rsidP="00B342BD">
      <w:proofErr w:type="spellStart"/>
      <w:r>
        <w:t>Stenzel</w:t>
      </w:r>
      <w:proofErr w:type="spellEnd"/>
      <w:r>
        <w:t xml:space="preserve"> et al (2021) highlighted the complex nature of the trade-offs between climate adaptation (density reduction/drought tolerance) and climate mitigation (maintaining carbon storage/reducing carbon emissions) in the context of thinning. </w:t>
      </w:r>
    </w:p>
    <w:p w:rsidR="00606E34" w:rsidRPr="00D54E3A" w:rsidRDefault="00606E34" w:rsidP="00B342BD">
      <w:pPr>
        <w:ind w:left="720"/>
        <w:rPr>
          <w:shd w:val="clear" w:color="auto" w:fill="FFFFFF"/>
        </w:rPr>
      </w:pPr>
      <w:r w:rsidRPr="00B9688A">
        <w:rPr>
          <w:shd w:val="clear" w:color="auto" w:fill="FFFFFF"/>
        </w:rPr>
        <w:t>Carbon balance tradeoffs between reduced biomass density and increased forest resilience to disturbance</w:t>
      </w:r>
      <w:r>
        <w:rPr>
          <w:shd w:val="clear" w:color="auto" w:fill="FFFFFF"/>
        </w:rPr>
        <w:t xml:space="preserve"> </w:t>
      </w:r>
      <w:r w:rsidRPr="00B9688A">
        <w:rPr>
          <w:shd w:val="clear" w:color="auto" w:fill="FFFFFF"/>
        </w:rPr>
        <w:t>are uncertain in large part due to the uncertainty of future natural disturbances occurring in treated areas.</w:t>
      </w:r>
      <w:r>
        <w:rPr>
          <w:shd w:val="clear" w:color="auto" w:fill="FFFFFF"/>
        </w:rPr>
        <w:t xml:space="preserve">  </w:t>
      </w:r>
      <w:r w:rsidRPr="00B9688A">
        <w:rPr>
          <w:shd w:val="clear" w:color="auto" w:fill="FFFFFF"/>
        </w:rPr>
        <w:t>Our simulated mass mortality scenarios indicated that 2050 thinning emissions approximately equaled the</w:t>
      </w:r>
      <w:r>
        <w:rPr>
          <w:shd w:val="clear" w:color="auto" w:fill="FFFFFF"/>
        </w:rPr>
        <w:t xml:space="preserve"> </w:t>
      </w:r>
      <w:r w:rsidRPr="00B9688A">
        <w:rPr>
          <w:shd w:val="clear" w:color="auto" w:fill="FFFFFF"/>
        </w:rPr>
        <w:t>2050 emissions from stand mortality events greater than 75% and occurring after 2035. In these experiments,</w:t>
      </w:r>
      <w:r>
        <w:rPr>
          <w:shd w:val="clear" w:color="auto" w:fill="FFFFFF"/>
        </w:rPr>
        <w:t xml:space="preserve"> </w:t>
      </w:r>
      <w:r w:rsidRPr="00B9688A">
        <w:rPr>
          <w:shd w:val="clear" w:color="auto" w:fill="FFFFFF"/>
        </w:rPr>
        <w:t>the gradual decomposition of large pools of killed biomass remaining on site highlighted that the</w:t>
      </w:r>
      <w:r>
        <w:rPr>
          <w:shd w:val="clear" w:color="auto" w:fill="FFFFFF"/>
        </w:rPr>
        <w:t xml:space="preserve"> </w:t>
      </w:r>
      <w:r w:rsidRPr="00B9688A">
        <w:rPr>
          <w:shd w:val="clear" w:color="auto" w:fill="FFFFFF"/>
        </w:rPr>
        <w:t>emissions consequences of near-term natural disturbances will in part be realized beyond current GHG</w:t>
      </w:r>
      <w:r>
        <w:rPr>
          <w:shd w:val="clear" w:color="auto" w:fill="FFFFFF"/>
        </w:rPr>
        <w:t xml:space="preserve"> </w:t>
      </w:r>
      <w:r w:rsidRPr="00B9688A">
        <w:rPr>
          <w:shd w:val="clear" w:color="auto" w:fill="FFFFFF"/>
        </w:rPr>
        <w:t>reduction timelines (e.g., 2035 or 2050, IPCC, 2018). Thus, when managing for forest carbon storage, the</w:t>
      </w:r>
      <w:r>
        <w:rPr>
          <w:shd w:val="clear" w:color="auto" w:fill="FFFFFF"/>
        </w:rPr>
        <w:t xml:space="preserve"> </w:t>
      </w:r>
      <w:r w:rsidRPr="00B9688A">
        <w:rPr>
          <w:shd w:val="clear" w:color="auto" w:fill="FFFFFF"/>
        </w:rPr>
        <w:t>timing and magnitude of potential carbon gains or losses, which may be offset in time from disturbance</w:t>
      </w:r>
      <w:r>
        <w:rPr>
          <w:shd w:val="clear" w:color="auto" w:fill="FFFFFF"/>
        </w:rPr>
        <w:t xml:space="preserve"> </w:t>
      </w:r>
      <w:r w:rsidRPr="00B9688A">
        <w:rPr>
          <w:shd w:val="clear" w:color="auto" w:fill="FFFFFF"/>
        </w:rPr>
        <w:t>events, must be considered. In our simulations, the near-parity in carbon emissions from thinning and high</w:t>
      </w:r>
      <w:r>
        <w:rPr>
          <w:shd w:val="clear" w:color="auto" w:fill="FFFFFF"/>
        </w:rPr>
        <w:t xml:space="preserve"> </w:t>
      </w:r>
      <w:r w:rsidRPr="00B9688A">
        <w:rPr>
          <w:shd w:val="clear" w:color="auto" w:fill="FFFFFF"/>
        </w:rPr>
        <w:t>natural disturbance late in the simulation period occurred at the stand level. However, at the landscape</w:t>
      </w:r>
      <w:r>
        <w:rPr>
          <w:shd w:val="clear" w:color="auto" w:fill="FFFFFF"/>
        </w:rPr>
        <w:t xml:space="preserve"> </w:t>
      </w:r>
      <w:r w:rsidRPr="00B9688A">
        <w:rPr>
          <w:shd w:val="clear" w:color="auto" w:fill="FFFFFF"/>
        </w:rPr>
        <w:t>level, the encounter rates between treatments and disturbance are typically low (J. L. Campbell et al., 2012).</w:t>
      </w:r>
      <w:r>
        <w:rPr>
          <w:shd w:val="clear" w:color="auto" w:fill="FFFFFF"/>
        </w:rPr>
        <w:t xml:space="preserve"> </w:t>
      </w:r>
      <w:r w:rsidRPr="00B9688A">
        <w:rPr>
          <w:shd w:val="clear" w:color="auto" w:fill="FFFFFF"/>
        </w:rPr>
        <w:t>Greater areas of forest must therefore be treated than will encounter a disturbance, in turn increasing any</w:t>
      </w:r>
      <w:r>
        <w:rPr>
          <w:shd w:val="clear" w:color="auto" w:fill="FFFFFF"/>
        </w:rPr>
        <w:t xml:space="preserve"> </w:t>
      </w:r>
      <w:r w:rsidRPr="00B9688A">
        <w:rPr>
          <w:shd w:val="clear" w:color="auto" w:fill="FFFFFF"/>
        </w:rPr>
        <w:t xml:space="preserve">carbon cost to benefit ratio </w:t>
      </w:r>
      <w:r>
        <w:rPr>
          <w:shd w:val="clear" w:color="auto" w:fill="FFFFFF"/>
        </w:rPr>
        <w:t>e</w:t>
      </w:r>
      <w:r w:rsidRPr="00B9688A">
        <w:rPr>
          <w:shd w:val="clear" w:color="auto" w:fill="FFFFFF"/>
        </w:rPr>
        <w:t>stimated at the stand scale. Due to the infeasibility of landscape level treatment</w:t>
      </w:r>
      <w:r>
        <w:rPr>
          <w:shd w:val="clear" w:color="auto" w:fill="FFFFFF"/>
        </w:rPr>
        <w:t xml:space="preserve"> </w:t>
      </w:r>
      <w:r w:rsidRPr="00B9688A">
        <w:rPr>
          <w:shd w:val="clear" w:color="auto" w:fill="FFFFFF"/>
        </w:rPr>
        <w:t>experiments, landscape level predictions of disturbance impacts are generally simulated with earth systems</w:t>
      </w:r>
      <w:r>
        <w:rPr>
          <w:shd w:val="clear" w:color="auto" w:fill="FFFFFF"/>
        </w:rPr>
        <w:t xml:space="preserve"> </w:t>
      </w:r>
      <w:r w:rsidRPr="00B9688A">
        <w:rPr>
          <w:shd w:val="clear" w:color="auto" w:fill="FFFFFF"/>
        </w:rPr>
        <w:t>models (</w:t>
      </w:r>
      <w:proofErr w:type="spellStart"/>
      <w:r w:rsidRPr="00B9688A">
        <w:rPr>
          <w:shd w:val="clear" w:color="auto" w:fill="FFFFFF"/>
        </w:rPr>
        <w:t>Buotte</w:t>
      </w:r>
      <w:proofErr w:type="spellEnd"/>
      <w:r w:rsidRPr="00B9688A">
        <w:rPr>
          <w:shd w:val="clear" w:color="auto" w:fill="FFFFFF"/>
        </w:rPr>
        <w:t>, Levis, et al., 2020), which remain limited in their ability to represent stochastic disturbance</w:t>
      </w:r>
      <w:r>
        <w:rPr>
          <w:shd w:val="clear" w:color="auto" w:fill="FFFFFF"/>
        </w:rPr>
        <w:t xml:space="preserve"> </w:t>
      </w:r>
      <w:r w:rsidRPr="00B9688A">
        <w:rPr>
          <w:shd w:val="clear" w:color="auto" w:fill="FFFFFF"/>
        </w:rPr>
        <w:t>such as wildfire</w:t>
      </w:r>
    </w:p>
    <w:p w:rsidR="00606E34" w:rsidRDefault="00606E34" w:rsidP="00B342BD">
      <w:proofErr w:type="spellStart"/>
      <w:r>
        <w:t>Stenzel</w:t>
      </w:r>
      <w:proofErr w:type="spellEnd"/>
      <w:r>
        <w:t xml:space="preserve">, J. E., </w:t>
      </w:r>
      <w:proofErr w:type="spellStart"/>
      <w:r>
        <w:t>Berardi</w:t>
      </w:r>
      <w:proofErr w:type="spellEnd"/>
      <w:r>
        <w:t xml:space="preserve">, D. B., Walsh, E. S., &amp; </w:t>
      </w:r>
      <w:proofErr w:type="spellStart"/>
      <w:r>
        <w:t>Hudiburg</w:t>
      </w:r>
      <w:proofErr w:type="spellEnd"/>
      <w:r>
        <w:t xml:space="preserve">, T. W. (2021). Restoration thinning in a drought-prone Idaho forest creates a persistent carbon deficit. Journal of Geophysical Research: </w:t>
      </w:r>
      <w:proofErr w:type="spellStart"/>
      <w:r>
        <w:t>Biogeosciences</w:t>
      </w:r>
      <w:proofErr w:type="spellEnd"/>
      <w:r>
        <w:t xml:space="preserve">, 126, e2020JG005815. </w:t>
      </w:r>
      <w:hyperlink r:id="rId120" w:history="1">
        <w:r w:rsidRPr="00A50A16">
          <w:rPr>
            <w:rStyle w:val="Hyperlink"/>
          </w:rPr>
          <w:t>https://agupubs.onlinelibrary.wiley.com/doi/epdf/10.1029/2020JG005815</w:t>
        </w:r>
      </w:hyperlink>
      <w:r>
        <w:t>. The agency needs to take a hard look at these trade-offs and develop alternatives that harmonize divergent climate goals in light of the evidence for (and against) benefits on both sides of the adaptation/mitigation ledger.</w:t>
      </w:r>
    </w:p>
    <w:p w:rsidR="00606E34" w:rsidRDefault="00606E34" w:rsidP="00606E34"/>
    <w:p w:rsidR="00606E34" w:rsidRDefault="00606E34" w:rsidP="00606E34">
      <w:pPr>
        <w:ind w:left="720"/>
      </w:pPr>
      <w:r>
        <w:t>CARBON AS ONE OF MANY MANAGEMENT OBJECTIVES</w:t>
      </w:r>
    </w:p>
    <w:p w:rsidR="00606E34" w:rsidRDefault="00606E34" w:rsidP="00606E34">
      <w:pPr>
        <w:ind w:left="720"/>
      </w:pPr>
      <w:r>
        <w:t xml:space="preserve">Management objectives dictate the decisions land managers make. These objectives vary widely based on the landowner as well as the conditions of the ecosystem in question, and objectives may include any number of desired ecosystem benefits: water protection, wood production, wildlife, specific recreational opportunities, aesthetics, privacy, and more. Greenhouse gas mitigation is thus part of a wider array of management aims for forests and grasslands. Managers may choose to incorporate greenhouse gas mitigation </w:t>
      </w:r>
      <w:r>
        <w:lastRenderedPageBreak/>
        <w:t xml:space="preserve">as a management objective for a number of reasons, including increasing forest productivity or deriving benefits from participating in carbon markets. However, focusing solely on carbon could lead to non-optimal management decisions, and, in some situations, managing for carbon benefits may be at odds with other goals. </w:t>
      </w:r>
    </w:p>
    <w:p w:rsidR="00606E34" w:rsidRDefault="00606E34" w:rsidP="00606E34">
      <w:pPr>
        <w:ind w:left="720"/>
      </w:pPr>
      <w:r>
        <w:t xml:space="preserve">The tradeoffs inherent in balancing multiple management goals necessitate the recognition that it may not be possible to meet all goals, including those for carbon, in a single stand or at a single point in time (Ryan et al. 2010). Consideration of the effects of management actions on carbon require thinking broadly across large spatial scales and long timeframes to determine the true effects on atmospheric greenhouse gases (Harmon 2001). </w:t>
      </w:r>
    </w:p>
    <w:p w:rsidR="00606E34" w:rsidRDefault="00606E34" w:rsidP="00606E34">
      <w:proofErr w:type="spellStart"/>
      <w:r w:rsidRPr="00437844">
        <w:t>Janowiak</w:t>
      </w:r>
      <w:proofErr w:type="spellEnd"/>
      <w:r w:rsidRPr="00437844">
        <w:t>, M.; Connelly, W.J.;</w:t>
      </w:r>
      <w:r>
        <w:t xml:space="preserve"> </w:t>
      </w:r>
      <w:r w:rsidRPr="00437844">
        <w:t xml:space="preserve">Dante-Wood,  K.; </w:t>
      </w:r>
      <w:proofErr w:type="spellStart"/>
      <w:r w:rsidRPr="00437844">
        <w:t>Domke</w:t>
      </w:r>
      <w:proofErr w:type="spellEnd"/>
      <w:r w:rsidRPr="00437844">
        <w:t xml:space="preserve">, G.M.; </w:t>
      </w:r>
      <w:proofErr w:type="spellStart"/>
      <w:r w:rsidRPr="00437844">
        <w:t>Giardina</w:t>
      </w:r>
      <w:proofErr w:type="spellEnd"/>
      <w:r w:rsidRPr="00437844">
        <w:t xml:space="preserve">, C.; </w:t>
      </w:r>
      <w:proofErr w:type="spellStart"/>
      <w:r w:rsidRPr="00437844">
        <w:t>Kayler</w:t>
      </w:r>
      <w:proofErr w:type="spellEnd"/>
      <w:r w:rsidRPr="00437844">
        <w:t xml:space="preserve">, Z.; </w:t>
      </w:r>
      <w:proofErr w:type="spellStart"/>
      <w:r w:rsidRPr="00437844">
        <w:t>Marcinkowski</w:t>
      </w:r>
      <w:proofErr w:type="spellEnd"/>
      <w:r w:rsidRPr="00437844">
        <w:t xml:space="preserve">, K.; </w:t>
      </w:r>
      <w:proofErr w:type="spellStart"/>
      <w:r w:rsidRPr="00437844">
        <w:t>Ontl</w:t>
      </w:r>
      <w:proofErr w:type="spellEnd"/>
      <w:r w:rsidRPr="00437844">
        <w:t>, T.; Rodriguez-Franco, C.; Swanston, C.; Woodall, C.W.; Buford, M. 2017. Considering Forest and Grassland Carbon in Land Management. Gen. Tech. Rep. WO-95. Washington, D.C.: United States Department of Agriculture, Forest Service. 68 p.</w:t>
      </w:r>
      <w:r>
        <w:t xml:space="preserve"> </w:t>
      </w:r>
      <w:hyperlink r:id="rId121" w:history="1">
        <w:r w:rsidRPr="00794D14">
          <w:rPr>
            <w:rStyle w:val="Hyperlink"/>
          </w:rPr>
          <w:t>https://www.fs.usda.gov/research/publications/gtr/gtr_wo95.pdf</w:t>
        </w:r>
      </w:hyperlink>
      <w:r>
        <w:t xml:space="preserve">. </w:t>
      </w:r>
    </w:p>
    <w:p w:rsidR="00432C78" w:rsidRDefault="00432C78" w:rsidP="000A4F27"/>
    <w:p w:rsidR="00432C78" w:rsidRPr="00FF594C" w:rsidRDefault="0054102F" w:rsidP="00432C78">
      <w:pPr>
        <w:pStyle w:val="Heading2"/>
        <w:keepLines w:val="0"/>
        <w:numPr>
          <w:ilvl w:val="1"/>
          <w:numId w:val="0"/>
        </w:numPr>
        <w:tabs>
          <w:tab w:val="num" w:pos="0"/>
        </w:tabs>
        <w:suppressAutoHyphens/>
        <w:spacing w:before="0" w:after="0" w:line="240" w:lineRule="auto"/>
        <w:ind w:left="576" w:hanging="576"/>
        <w:rPr>
          <w:szCs w:val="28"/>
        </w:rPr>
      </w:pPr>
      <w:bookmarkStart w:id="38" w:name="_Toc176945815"/>
      <w:bookmarkStart w:id="39" w:name="_Toc176959877"/>
      <w:r>
        <w:t xml:space="preserve">The EA Needs to Consider Accurately Account for Fact that </w:t>
      </w:r>
      <w:r>
        <w:rPr>
          <w:szCs w:val="28"/>
        </w:rPr>
        <w:t>Thinning D</w:t>
      </w:r>
      <w:r w:rsidR="00432C78" w:rsidRPr="00FF594C">
        <w:rPr>
          <w:szCs w:val="28"/>
        </w:rPr>
        <w:t xml:space="preserve">oes </w:t>
      </w:r>
      <w:r>
        <w:rPr>
          <w:szCs w:val="28"/>
        </w:rPr>
        <w:t>N</w:t>
      </w:r>
      <w:r w:rsidR="00432C78" w:rsidRPr="00FF594C">
        <w:rPr>
          <w:szCs w:val="28"/>
        </w:rPr>
        <w:t xml:space="preserve">ot </w:t>
      </w:r>
      <w:r>
        <w:rPr>
          <w:szCs w:val="28"/>
        </w:rPr>
        <w:t>I</w:t>
      </w:r>
      <w:r w:rsidR="00432C78">
        <w:rPr>
          <w:szCs w:val="28"/>
        </w:rPr>
        <w:t xml:space="preserve">ncrease </w:t>
      </w:r>
      <w:r>
        <w:rPr>
          <w:szCs w:val="28"/>
        </w:rPr>
        <w:t>C</w:t>
      </w:r>
      <w:r w:rsidR="00432C78" w:rsidRPr="00FF594C">
        <w:rPr>
          <w:szCs w:val="28"/>
        </w:rPr>
        <w:t>arbon</w:t>
      </w:r>
      <w:r w:rsidR="00432C78">
        <w:rPr>
          <w:szCs w:val="28"/>
        </w:rPr>
        <w:t xml:space="preserve"> </w:t>
      </w:r>
      <w:r>
        <w:rPr>
          <w:szCs w:val="28"/>
        </w:rPr>
        <w:t>S</w:t>
      </w:r>
      <w:r w:rsidR="00432C78">
        <w:rPr>
          <w:szCs w:val="28"/>
        </w:rPr>
        <w:t>torage</w:t>
      </w:r>
      <w:r w:rsidR="00432C78" w:rsidRPr="00FF594C">
        <w:rPr>
          <w:szCs w:val="28"/>
        </w:rPr>
        <w:t>.</w:t>
      </w:r>
      <w:bookmarkEnd w:id="38"/>
      <w:bookmarkEnd w:id="39"/>
    </w:p>
    <w:p w:rsidR="00A63B99" w:rsidRDefault="00432C78" w:rsidP="00432C78">
      <w:pPr>
        <w:rPr>
          <w:lang w:val="en-US"/>
        </w:rPr>
      </w:pPr>
      <w:r w:rsidRPr="00432C78">
        <w:t>The EA concludes that logging will avoid carbon emissions from fire. “</w:t>
      </w:r>
      <w:r w:rsidRPr="00432C78">
        <w:rPr>
          <w:lang w:val="en-US"/>
        </w:rPr>
        <w:t>Proposed vegetation thinning in overstocked stands of the NF Smith Project area (and on the Siuslaw National Forest in general) can avoid large GHG emissions pulses and effects to carbon cycling associated with large scale disturbance such as wildfire.</w:t>
      </w:r>
      <w:r w:rsidR="00CF2887">
        <w:rPr>
          <w:lang w:val="en-US"/>
        </w:rPr>
        <w:t xml:space="preserve"> … </w:t>
      </w:r>
      <w:r w:rsidR="00CF2887" w:rsidRPr="00CF2887">
        <w:rPr>
          <w:lang w:val="en-US"/>
        </w:rPr>
        <w:t>Thinning overstocked stands to increase forest and wildlife habitat resilience and decrease the potential for large scale wildfire can avoid large GHG emissions pulses and effects to carbon cycling associated with large scale disturbance such as wildfire.</w:t>
      </w:r>
      <w:r w:rsidRPr="00432C78">
        <w:rPr>
          <w:lang w:val="en-US"/>
        </w:rPr>
        <w:t xml:space="preserve">” This is not supported by the evidence. </w:t>
      </w:r>
      <w:r>
        <w:rPr>
          <w:lang w:val="en-US"/>
        </w:rPr>
        <w:t xml:space="preserve"> </w:t>
      </w:r>
      <w:r w:rsidR="00A63B99">
        <w:rPr>
          <w:lang w:val="en-US"/>
        </w:rPr>
        <w:t>S</w:t>
      </w:r>
      <w:r>
        <w:rPr>
          <w:lang w:val="en-US"/>
        </w:rPr>
        <w:t xml:space="preserve">tudies cited below clearly show that logging to reduce the effects of fire </w:t>
      </w:r>
      <w:r w:rsidR="00CF2887">
        <w:rPr>
          <w:lang w:val="en-US"/>
        </w:rPr>
        <w:t xml:space="preserve">(+ emissions from unavoidable wildfire) </w:t>
      </w:r>
      <w:r>
        <w:rPr>
          <w:lang w:val="en-US"/>
        </w:rPr>
        <w:t>will result in more emissions than wildfire</w:t>
      </w:r>
      <w:r w:rsidR="00CF2887">
        <w:rPr>
          <w:lang w:val="en-US"/>
        </w:rPr>
        <w:t xml:space="preserve"> alone</w:t>
      </w:r>
      <w:r>
        <w:rPr>
          <w:lang w:val="en-US"/>
        </w:rPr>
        <w:t xml:space="preserve">. </w:t>
      </w:r>
    </w:p>
    <w:p w:rsidR="00A63B99" w:rsidRDefault="00A63B99" w:rsidP="00432C78">
      <w:pPr>
        <w:rPr>
          <w:lang w:val="en-US"/>
        </w:rPr>
      </w:pPr>
    </w:p>
    <w:p w:rsidR="00432C78" w:rsidRPr="00432C78" w:rsidRDefault="00432C78" w:rsidP="00432C78">
      <w:r w:rsidRPr="00432C78">
        <w:rPr>
          <w:rFonts w:cs="Times New Roman"/>
        </w:rPr>
        <w:t xml:space="preserve">Forest Service NEPA analyses often include the following assertion - </w:t>
      </w:r>
      <w:r w:rsidRPr="00432C78">
        <w:t>“The release of carbon associated with this project is justified given the overall change in condition increases forest resistance to release of much greater quantities of carbon from wildfire, drought, insects/disease, or a combination of these disturbance types (Millar 2007)” This is inaccurate and misleading.</w:t>
      </w:r>
    </w:p>
    <w:p w:rsidR="00432C78" w:rsidRPr="00432C78" w:rsidRDefault="00432C78" w:rsidP="00432C78">
      <w:pPr>
        <w:rPr>
          <w:rFonts w:cs="Times New Roman"/>
        </w:rPr>
      </w:pPr>
    </w:p>
    <w:p w:rsidR="00432C78" w:rsidRPr="00432C78" w:rsidRDefault="00432C78" w:rsidP="00432C78">
      <w:r w:rsidRPr="00432C78">
        <w:rPr>
          <w:rFonts w:cs="Times New Roman"/>
        </w:rPr>
        <w:t xml:space="preserve">Logging proponents often claim that logging will increase carbon storage </w:t>
      </w:r>
      <w:r w:rsidRPr="00432C78">
        <w:t xml:space="preserve">in the forest by limiting </w:t>
      </w:r>
      <w:r w:rsidRPr="00432C78">
        <w:rPr>
          <w:rFonts w:cs="Times New Roman"/>
        </w:rPr>
        <w:t>carbon emissions caused by natural processes such as fire and insect-induced mortality. This is</w:t>
      </w:r>
      <w:r w:rsidRPr="00432C78">
        <w:rPr>
          <w:rFonts w:cs="Times New Roman"/>
          <w:color w:val="222222"/>
          <w:shd w:val="clear" w:color="auto" w:fill="FFFFFF"/>
        </w:rPr>
        <w:t xml:space="preserve"> simply counter-factual. In most cases, managing forests in an effort to control natural processes that release carbon will only make things worse by releasing MORE carbon. This is mostly because no one can predict where fire or insects will occur, so the treatments must be applied to broad landscapes, yet the probability of fire or insects at any given location remains low, and only a small fraction of the treated areas will actually experience fire or insects. As a result, many acres will be treated "unnecessarily" and therefore the cumulative carbon emissions from logging to control fire and insects (plus the carbon emissions from fire and insects that occur in spite of control efforts) are greater than emissions from fire and insects </w:t>
      </w:r>
      <w:r w:rsidRPr="00432C78">
        <w:rPr>
          <w:rFonts w:cs="Times New Roman"/>
          <w:color w:val="222222"/>
          <w:shd w:val="clear" w:color="auto" w:fill="FFFFFF"/>
        </w:rPr>
        <w:lastRenderedPageBreak/>
        <w:t xml:space="preserve">alone. </w:t>
      </w:r>
      <w:r w:rsidRPr="00432C78">
        <w:t>A careful analysis shows that logging to control fire and expecting to increase carbon storage is analogous to rolling a die and expecting to roll a six every time.</w:t>
      </w:r>
    </w:p>
    <w:p w:rsidR="00432C78" w:rsidRPr="00432C78" w:rsidRDefault="00432C78" w:rsidP="00432C78">
      <w:pPr>
        <w:rPr>
          <w:rFonts w:cs="Times New Roman"/>
          <w:color w:val="222222"/>
          <w:shd w:val="clear" w:color="auto" w:fill="FFFFFF"/>
        </w:rPr>
      </w:pPr>
    </w:p>
    <w:p w:rsidR="00432C78" w:rsidRPr="00432C78" w:rsidRDefault="00432C78" w:rsidP="00432C78">
      <w:r w:rsidRPr="00432C78">
        <w:t xml:space="preserve">This is an example of the “base rate fallacy” or “neglecting priors” from Bayesian statistics. The probability of a forest NOT burning are far greater than the probability of a forest burning. Attempts to address a problem that is unlikely to occur, such as by thinning a forest that is unlikely to burn, runs a high risk that unintended negatives effects will overwhelm beneficial effects. </w:t>
      </w:r>
      <w:hyperlink r:id="rId122" w:history="1">
        <w:r w:rsidRPr="00432C78">
          <w:rPr>
            <w:rStyle w:val="Hyperlink"/>
          </w:rPr>
          <w:t>https://en.wikipedia.org/wiki/Base_rate_fallacy</w:t>
        </w:r>
      </w:hyperlink>
      <w:r>
        <w:t xml:space="preserve"> </w:t>
      </w:r>
    </w:p>
    <w:p w:rsidR="00432C78" w:rsidRPr="00432C78" w:rsidRDefault="00432C78" w:rsidP="00432C78">
      <w:pPr>
        <w:ind w:left="720"/>
      </w:pPr>
    </w:p>
    <w:p w:rsidR="00432C78" w:rsidRPr="00432C78" w:rsidRDefault="00432C78" w:rsidP="00432C78">
      <w:pPr>
        <w:ind w:left="720"/>
      </w:pPr>
      <w:r w:rsidRPr="00432C78">
        <w:t>[T]here is no guarantee that thinning across vast landscapes will stabilize carbon stores. Rather the best available scientific study has shown that thinning reduces carbon stores more than fire itself and reduces carbon stores whether or not fire burns that particular forest.</w:t>
      </w:r>
    </w:p>
    <w:p w:rsidR="00432C78" w:rsidRPr="00432C78" w:rsidRDefault="00432C78" w:rsidP="00432C78">
      <w:r w:rsidRPr="00432C78">
        <w:t xml:space="preserve">Law, B. 2021. Response to Questions for the Record, </w:t>
      </w:r>
      <w:r w:rsidRPr="00432C78">
        <w:rPr>
          <w:i/>
        </w:rPr>
        <w:t>attached to</w:t>
      </w:r>
      <w:r w:rsidRPr="00432C78">
        <w:t xml:space="preserve"> Statement Of Dr. Beverly Law, Professor Emeritus, Oregon State University,  Before The United States House Of Representatives,  Subcommittee On National Parks, Forests And Public Lands,  April 29, 2021, Concerning “Wildfire In A Warming World: Opportunities To Improve Community Collaboration, Climate Resilience, And Workforce Capacity” </w:t>
      </w:r>
      <w:hyperlink r:id="rId123" w:history="1">
        <w:r w:rsidRPr="00432C78">
          <w:rPr>
            <w:rStyle w:val="Hyperlink"/>
          </w:rPr>
          <w:t>https://naturalresources.house.gov/imo/media/doc/Law,%20Beverly%20-%20Testimony%20-%20NPFPL%20Ov%20Hrg%2004.29.21.pdf</w:t>
        </w:r>
      </w:hyperlink>
      <w:r w:rsidRPr="00432C78">
        <w:t xml:space="preserve"> (link to Statement, without Response to Questions).</w:t>
      </w:r>
    </w:p>
    <w:p w:rsidR="00432C78" w:rsidRPr="00432C78" w:rsidRDefault="00432C78" w:rsidP="00432C78"/>
    <w:p w:rsidR="00432C78" w:rsidRPr="00432C78" w:rsidRDefault="00432C78" w:rsidP="00432C78">
      <w:r w:rsidRPr="00432C78">
        <w:t>The 2018 US Forest Service Northwest Forest Plan Science Synthesis concluded that fuel reduction is unlikely to be an effective climate mitigation strategy.</w:t>
      </w:r>
    </w:p>
    <w:p w:rsidR="00432C78" w:rsidRPr="00432C78" w:rsidRDefault="00432C78" w:rsidP="00432C78">
      <w:pPr>
        <w:ind w:left="720"/>
      </w:pPr>
      <w:r w:rsidRPr="00432C78">
        <w:t>Some studies from other regions in the Western United States (i.e., the Southwest and Sierra Nevada) suggest that thinning and fuel reduction can mitigate carbon loss from fire. Fuel reduction may reduce losses of carbon at stand levels compared with the consequences of high-severity wildfire burning in stands with high fuel loads (</w:t>
      </w:r>
      <w:proofErr w:type="spellStart"/>
      <w:r w:rsidRPr="00432C78">
        <w:t>Finkral</w:t>
      </w:r>
      <w:proofErr w:type="spellEnd"/>
      <w:r w:rsidRPr="00432C78">
        <w:t xml:space="preserve"> and Evans 2008; </w:t>
      </w:r>
      <w:proofErr w:type="spellStart"/>
      <w:r w:rsidRPr="00432C78">
        <w:t>Hurteau</w:t>
      </w:r>
      <w:proofErr w:type="spellEnd"/>
      <w:r w:rsidRPr="00432C78">
        <w:t xml:space="preserve"> and North 2009; </w:t>
      </w:r>
      <w:proofErr w:type="spellStart"/>
      <w:r w:rsidRPr="00432C78">
        <w:t>Hurteau</w:t>
      </w:r>
      <w:proofErr w:type="spellEnd"/>
      <w:r w:rsidRPr="00432C78">
        <w:t xml:space="preserve"> et al. 2008, 2011, 2016; North and </w:t>
      </w:r>
      <w:proofErr w:type="spellStart"/>
      <w:r w:rsidRPr="00432C78">
        <w:t>Hurteau</w:t>
      </w:r>
      <w:proofErr w:type="spellEnd"/>
      <w:r w:rsidRPr="00432C78">
        <w:t xml:space="preserve"> 2011; North et al. 2009, Stephens et al. 2009). However, </w:t>
      </w:r>
      <w:r w:rsidRPr="00432C78">
        <w:rPr>
          <w:u w:val="single"/>
        </w:rPr>
        <w:t>because the probability of treated areas burning is generally low</w:t>
      </w:r>
      <w:r w:rsidRPr="00432C78">
        <w:t xml:space="preserve"> (Barnett et al. 2016), and most biomass is not consumed by fire, slight differences in losses resulting from combustion in fire compared with losses from fuel reduction are </w:t>
      </w:r>
      <w:r w:rsidRPr="00432C78">
        <w:rPr>
          <w:u w:val="single"/>
        </w:rPr>
        <w:t>unlikely to make fuel reduction a viable mitigation strategy</w:t>
      </w:r>
      <w:r w:rsidRPr="00432C78">
        <w:t xml:space="preserve"> (Ager et al. 2010, Campbell et al. 2012, Kline et al. 2016, Mitchell et al. 2009, </w:t>
      </w:r>
      <w:proofErr w:type="spellStart"/>
      <w:r w:rsidRPr="00432C78">
        <w:t>Restaino</w:t>
      </w:r>
      <w:proofErr w:type="spellEnd"/>
      <w:r w:rsidRPr="00432C78">
        <w:t xml:space="preserve"> and Peterson 2013, Spies et al. 2017).</w:t>
      </w:r>
    </w:p>
    <w:p w:rsidR="00432C78" w:rsidRPr="00432C78" w:rsidRDefault="00432C78" w:rsidP="00432C78">
      <w:r w:rsidRPr="00432C78">
        <w:t xml:space="preserve">USDA 2018. Synthesis of Science to Inform Land Management Within the Northwest Forest Plan Area. General Technical Report. PNW-GTR-966 Vol. 1. June 2018. </w:t>
      </w:r>
      <w:hyperlink r:id="rId124" w:history="1">
        <w:r w:rsidRPr="00432C78">
          <w:rPr>
            <w:rStyle w:val="Hyperlink"/>
          </w:rPr>
          <w:t>https://www.fs.usda.gov/pnw/pubs/pnw_gtr966.pdf</w:t>
        </w:r>
      </w:hyperlink>
      <w:r w:rsidRPr="00432C78">
        <w:t>.</w:t>
      </w:r>
    </w:p>
    <w:p w:rsidR="00432C78" w:rsidRPr="00432C78" w:rsidRDefault="00432C78" w:rsidP="00432C78">
      <w:pPr>
        <w:rPr>
          <w:rFonts w:cs="Times New Roman"/>
          <w:color w:val="222222"/>
          <w:shd w:val="clear" w:color="auto" w:fill="FFFFFF"/>
        </w:rPr>
      </w:pPr>
    </w:p>
    <w:p w:rsidR="00432C78" w:rsidRPr="00432C78" w:rsidRDefault="00432C78" w:rsidP="00432C78">
      <w:pPr>
        <w:rPr>
          <w:rFonts w:cs="Times New Roman"/>
          <w:color w:val="222222"/>
          <w:shd w:val="clear" w:color="auto" w:fill="FFFFFF"/>
        </w:rPr>
      </w:pPr>
      <w:r w:rsidRPr="00432C78">
        <w:rPr>
          <w:rFonts w:cs="Times New Roman"/>
          <w:color w:val="222222"/>
          <w:shd w:val="clear" w:color="auto" w:fill="FFFFFF"/>
        </w:rPr>
        <w:t xml:space="preserve">Let’s start with a simple truism of risk management: </w:t>
      </w:r>
    </w:p>
    <w:p w:rsidR="00432C78" w:rsidRPr="00432C78" w:rsidRDefault="00432C78" w:rsidP="00432C78">
      <w:pPr>
        <w:ind w:left="720"/>
        <w:rPr>
          <w:rStyle w:val="apple-converted-space"/>
          <w:rFonts w:cs="Times New Roman"/>
          <w:color w:val="222222"/>
          <w:shd w:val="clear" w:color="auto" w:fill="FFFFFF"/>
        </w:rPr>
      </w:pPr>
      <w:r w:rsidRPr="00432C78">
        <w:rPr>
          <w:rStyle w:val="apple-converted-space"/>
          <w:rFonts w:cs="Times New Roman"/>
          <w:color w:val="222222"/>
          <w:shd w:val="clear" w:color="auto" w:fill="FFFFFF"/>
        </w:rPr>
        <w:t xml:space="preserve">Speculative negative emissions technologies may be worse than chimeras if they result in the false comfort that continued … emissions can simply be offset, thereby diverting financial and policy resources from conventional mitigation. This would be reckless. It is clearly less risky not to emit a tonne of CO2 in the first place, than to emit one in </w:t>
      </w:r>
      <w:r w:rsidRPr="00432C78">
        <w:rPr>
          <w:rStyle w:val="apple-converted-space"/>
          <w:rFonts w:cs="Times New Roman"/>
          <w:color w:val="222222"/>
          <w:shd w:val="clear" w:color="auto" w:fill="FFFFFF"/>
        </w:rPr>
        <w:lastRenderedPageBreak/>
        <w:t>expectation of being able to sequester it for an unknown period of time, at unknown cost, with unknown consequences, at an unknown date and place in the future.</w:t>
      </w:r>
    </w:p>
    <w:p w:rsidR="00432C78" w:rsidRPr="00432C78" w:rsidRDefault="00432C78" w:rsidP="00432C78">
      <w:pPr>
        <w:rPr>
          <w:rFonts w:cs="Times New Roman"/>
        </w:rPr>
      </w:pPr>
      <w:r w:rsidRPr="00432C78">
        <w:rPr>
          <w:rStyle w:val="apple-converted-space"/>
          <w:rFonts w:cs="Times New Roman"/>
          <w:color w:val="222222"/>
          <w:shd w:val="clear" w:color="auto" w:fill="FFFFFF"/>
        </w:rPr>
        <w:t xml:space="preserve">Carbon Brief staff 2016. In-depth: Experts assess the feasibility of ‘negative emissions’ </w:t>
      </w:r>
      <w:r w:rsidRPr="00432C78">
        <w:rPr>
          <w:rStyle w:val="apple-converted-space"/>
          <w:rFonts w:cs="Times New Roman"/>
          <w:i/>
          <w:color w:val="222222"/>
          <w:shd w:val="clear" w:color="auto" w:fill="FFFFFF"/>
        </w:rPr>
        <w:t>citing</w:t>
      </w:r>
      <w:r w:rsidRPr="00432C78">
        <w:rPr>
          <w:rStyle w:val="apple-converted-space"/>
          <w:rFonts w:cs="Times New Roman"/>
          <w:color w:val="222222"/>
          <w:shd w:val="clear" w:color="auto" w:fill="FFFFFF"/>
        </w:rPr>
        <w:t xml:space="preserve"> Rob Bailey, Director of Energy, Environment and Resources, Chatham House. </w:t>
      </w:r>
      <w:hyperlink r:id="rId125" w:history="1">
        <w:r w:rsidRPr="00432C78">
          <w:rPr>
            <w:rStyle w:val="Hyperlink"/>
            <w:rFonts w:cs="Times New Roman"/>
            <w:shd w:val="clear" w:color="auto" w:fill="FFFFFF"/>
          </w:rPr>
          <w:t>http://www.carbonbrief.org/in-depth-experts-assess-the-feasibility-of-negative-emissions#bailey</w:t>
        </w:r>
      </w:hyperlink>
      <w:r w:rsidRPr="00432C78">
        <w:rPr>
          <w:rStyle w:val="apple-converted-space"/>
          <w:rFonts w:cs="Times New Roman"/>
          <w:color w:val="222222"/>
          <w:shd w:val="clear" w:color="auto" w:fill="FFFFFF"/>
        </w:rPr>
        <w:t xml:space="preserve"> </w:t>
      </w:r>
    </w:p>
    <w:p w:rsidR="00432C78" w:rsidRPr="00432C78" w:rsidRDefault="00432C78" w:rsidP="00432C78"/>
    <w:p w:rsidR="00432C78" w:rsidRPr="00432C78" w:rsidRDefault="00432C78" w:rsidP="00432C78">
      <w:r w:rsidRPr="00432C78">
        <w:t>Law &amp; Harmon (2011) conducted a literature review and concluded …</w:t>
      </w:r>
    </w:p>
    <w:p w:rsidR="00432C78" w:rsidRPr="00432C78" w:rsidRDefault="00432C78" w:rsidP="00432C78">
      <w:pPr>
        <w:ind w:left="720"/>
      </w:pPr>
      <w:r w:rsidRPr="00432C78">
        <w:t>Thinning forests to reduce potential carbon losses due to wildfire is in direct conflict with carbon sequestration goals, and, if implemented, would result in a net emission of CO2 to the atmosphere because the amount of carbon removed to change fire behavior is often far larger than that saved by changing fire behavior, and more area has to be harvested than will ultimately burn over the period of effectiveness of the thinning treatment.</w:t>
      </w:r>
    </w:p>
    <w:p w:rsidR="00432C78" w:rsidRPr="00432C78" w:rsidRDefault="00432C78" w:rsidP="00432C78">
      <w:r w:rsidRPr="00432C78">
        <w:t xml:space="preserve">Law, B. &amp; M.E. Harmon 2011. Forest sector carbon management, measurement and verification, and discussion of policy related to mitigation and adaptation of forests to climate change. Carbon Management 2011 2(1). </w:t>
      </w:r>
      <w:hyperlink r:id="rId126" w:history="1">
        <w:r w:rsidRPr="00432C78">
          <w:rPr>
            <w:rStyle w:val="Hyperlink"/>
          </w:rPr>
          <w:t>https://archives.corvallisoregon.gov/public/ElectronicFile.aspx?dbid=0&amp;docid=4256162</w:t>
        </w:r>
      </w:hyperlink>
      <w:r w:rsidRPr="00432C78">
        <w:t>.</w:t>
      </w:r>
    </w:p>
    <w:p w:rsidR="00432C78" w:rsidRPr="00432C78" w:rsidRDefault="00432C78" w:rsidP="00432C78"/>
    <w:p w:rsidR="00432C78" w:rsidRPr="00432C78" w:rsidRDefault="00432C78" w:rsidP="00432C78">
      <w:proofErr w:type="spellStart"/>
      <w:r w:rsidRPr="00432C78">
        <w:t>Bartowitz</w:t>
      </w:r>
      <w:proofErr w:type="spellEnd"/>
      <w:r w:rsidRPr="00432C78">
        <w:t xml:space="preserve"> et al (2022) found </w:t>
      </w:r>
    </w:p>
    <w:p w:rsidR="00432C78" w:rsidRPr="00432C78" w:rsidRDefault="00432C78" w:rsidP="00432C78">
      <w:pPr>
        <w:ind w:left="720"/>
      </w:pPr>
      <w:r w:rsidRPr="00432C78">
        <w:t>… [S]</w:t>
      </w:r>
      <w:proofErr w:type="spellStart"/>
      <w:r w:rsidRPr="00432C78">
        <w:t>ome</w:t>
      </w:r>
      <w:proofErr w:type="spellEnd"/>
      <w:r w:rsidRPr="00432C78">
        <w:t xml:space="preserve"> recent policies have proposed diameter increases in fuel reduction strategies. While the primary goal is fire risk reduction, these policies have been interpreted as strategies that can be used to save trees from being killed by fire, thus preventing carbon emissions and feedbacks to climate warming. This interpretation has already resulted in cutting down trees that likely would have survived fire, resulting in forest carbon losses that are greater than if a wildfire had occurred.  … [H]</w:t>
      </w:r>
      <w:proofErr w:type="spellStart"/>
      <w:r w:rsidRPr="00432C78">
        <w:t>arvest</w:t>
      </w:r>
      <w:proofErr w:type="spellEnd"/>
      <w:r w:rsidRPr="00432C78">
        <w:t xml:space="preserve"> of mature trees releases a higher density of carbon emissions (e.g., per unit area) relative to wildfire (150–800%) because harvest causes a higher rate of  tree mortality than wildfire. Our results show that increasing harvest of mature trees to save them from fire increases emissions rather than preventing them. … On public lands, management aimed at less-intensive fuels reduction (such as removal of “ladder” fuels, i.e., shrubs and small-diameter trees) will help to balance reducing catastrophic fire and leave live mature trees on the landscape to continue carbon uptake.</w:t>
      </w:r>
    </w:p>
    <w:p w:rsidR="00432C78" w:rsidRPr="00432C78" w:rsidRDefault="00432C78" w:rsidP="00432C78">
      <w:pPr>
        <w:ind w:left="720"/>
      </w:pPr>
      <w:r w:rsidRPr="00432C78">
        <w:t>…</w:t>
      </w:r>
    </w:p>
    <w:p w:rsidR="00432C78" w:rsidRPr="00432C78" w:rsidRDefault="00432C78" w:rsidP="00432C78">
      <w:pPr>
        <w:ind w:left="720"/>
      </w:pPr>
      <w:r w:rsidRPr="00432C78">
        <w:t xml:space="preserve">Many new policy discussions on fire and forest management are being based upon the misconception that harvest will protect forests from mortality and carbon loss (Executive Order, 2018; </w:t>
      </w:r>
      <w:proofErr w:type="spellStart"/>
      <w:r w:rsidRPr="00432C78">
        <w:t>Zinke</w:t>
      </w:r>
      <w:proofErr w:type="spellEnd"/>
      <w:r w:rsidRPr="00432C78">
        <w:t>, 2018; Infrastructure Investment and Jobs Act, 2021; Newhouse, 2021), and decrease fire risk (Forest Climate Action Team, 2018; Figure 1) despite substantial uncertainty over long-term impacts to forest climate resilience (i.e., forest treatments may decrease forest resilience in the era of climate change). Our results and the majority of full-carbon accounting studies conclude that any type of harvest (logging or commercial thinning) decreases forest carbon storage (Law et al., 2013), and this research shows harvest emits more carbon per unit area than fire at all scales …</w:t>
      </w:r>
    </w:p>
    <w:p w:rsidR="00432C78" w:rsidRPr="00432C78" w:rsidRDefault="00432C78" w:rsidP="00432C78">
      <w:pPr>
        <w:ind w:left="720"/>
      </w:pPr>
      <w:r w:rsidRPr="00432C78">
        <w:t xml:space="preserve">… Locations with high-harvest rates and carbon dense forests, such as the Pacific Northwest United States, see higher carbon losses from harvest than fire compared to </w:t>
      </w:r>
      <w:r w:rsidRPr="00432C78">
        <w:lastRenderedPageBreak/>
        <w:t>areas in the Southwest United States with low harvest rates and carbon sparse forests (e.g., Oregon versus Arizona). Forest management needs to be specific to forest type and region; old-growth and wet forests in the Northwest are best left preserved while dry, fire-prone forests or areas in the Wildland Urban Interface benefit from fire risk-reduction strategies like small-diameter thinning and prescribed fires (Law et al., 2018; Case et al., 2021). Inclusion of specific diameter limits in policy for public lands could help prevent large-diameter tree removal and subsequent unintended consequences.</w:t>
      </w:r>
    </w:p>
    <w:p w:rsidR="00432C78" w:rsidRPr="00432C78" w:rsidRDefault="00432C78" w:rsidP="00432C78">
      <w:pPr>
        <w:ind w:left="720"/>
      </w:pPr>
      <w:r w:rsidRPr="00432C78">
        <w:t>… The most effective forest management strategy to protect forest carbon stocks on public lands is to preserve forests through decreased harvest and thinning, lengthened harvest rotations, increased proportion of long-term wood products, reduced harvest and mill waste, and working toward afforestation and reforestation (</w:t>
      </w:r>
      <w:proofErr w:type="spellStart"/>
      <w:r w:rsidRPr="00432C78">
        <w:t>Hudiburg</w:t>
      </w:r>
      <w:proofErr w:type="spellEnd"/>
      <w:r w:rsidRPr="00432C78">
        <w:t xml:space="preserve"> et al., 2013; Law et al., 2018; </w:t>
      </w:r>
      <w:proofErr w:type="spellStart"/>
      <w:r w:rsidRPr="00432C78">
        <w:t>Buotte</w:t>
      </w:r>
      <w:proofErr w:type="spellEnd"/>
      <w:r w:rsidRPr="00432C78">
        <w:t xml:space="preserve"> et al., 2020; Figure 1).</w:t>
      </w:r>
    </w:p>
    <w:p w:rsidR="00432C78" w:rsidRPr="00432C78" w:rsidRDefault="00432C78" w:rsidP="00432C78">
      <w:proofErr w:type="spellStart"/>
      <w:r w:rsidRPr="00432C78">
        <w:t>Bartowitz</w:t>
      </w:r>
      <w:proofErr w:type="spellEnd"/>
      <w:r w:rsidRPr="00432C78">
        <w:t xml:space="preserve"> KJ, Walsh ES, </w:t>
      </w:r>
      <w:proofErr w:type="spellStart"/>
      <w:r w:rsidRPr="00432C78">
        <w:t>Stenzel</w:t>
      </w:r>
      <w:proofErr w:type="spellEnd"/>
      <w:r w:rsidRPr="00432C78">
        <w:t xml:space="preserve"> JE, </w:t>
      </w:r>
      <w:proofErr w:type="spellStart"/>
      <w:r w:rsidRPr="00432C78">
        <w:t>Kolden</w:t>
      </w:r>
      <w:proofErr w:type="spellEnd"/>
      <w:r w:rsidRPr="00432C78">
        <w:t xml:space="preserve"> CA and </w:t>
      </w:r>
      <w:proofErr w:type="spellStart"/>
      <w:r w:rsidRPr="00432C78">
        <w:t>Hudiburg</w:t>
      </w:r>
      <w:proofErr w:type="spellEnd"/>
      <w:r w:rsidRPr="00432C78">
        <w:t xml:space="preserve"> TW (2022) Forest Carbon</w:t>
      </w:r>
    </w:p>
    <w:p w:rsidR="00432C78" w:rsidRPr="00432C78" w:rsidRDefault="00432C78" w:rsidP="00432C78">
      <w:r w:rsidRPr="00432C78">
        <w:t xml:space="preserve">Emission Sources Are Not Equal: Putting Fire, Harvest, and Fossil Fuel Emissions in Context. Front. For. Glob. Change 5:867112. doi: 10.3389/ffgc.2022.867112. </w:t>
      </w:r>
      <w:hyperlink r:id="rId127" w:history="1">
        <w:r w:rsidRPr="00432C78">
          <w:rPr>
            <w:rStyle w:val="Hyperlink"/>
          </w:rPr>
          <w:t>https://www.frontiersin.org/articles/10.3389/ffgc.2022.867112/full</w:t>
        </w:r>
      </w:hyperlink>
      <w:r w:rsidRPr="00432C78">
        <w:t xml:space="preserve"> </w:t>
      </w:r>
    </w:p>
    <w:p w:rsidR="00432C78" w:rsidRPr="00432C78" w:rsidRDefault="00432C78" w:rsidP="00432C78"/>
    <w:p w:rsidR="00432C78" w:rsidRPr="00432C78" w:rsidRDefault="00432C78" w:rsidP="00432C78">
      <w:pPr>
        <w:ind w:left="720"/>
      </w:pPr>
      <w:r w:rsidRPr="00432C78">
        <w:t>Most analyses of mid- to long-term thinning impacts on forest structure and carbon storage show there is a multi-decadal biomass carbon deficit following moderate to heavy thinning … As to the effectiveness and likelihood that thinning might have an impact on fire behavior, the area thinned at broad scales to reduce fuels has been found to have little relationship to area burned, which is mostly driven by wind, drought, and warming. … The goals of restoring ecosystem processes and/or reducing risk in fire-prone regions can be met by removing small trees and underburning to reduce surface fuels, not by removal of larger trees, which is sometimes done to offset the cost of the thinning.</w:t>
      </w:r>
    </w:p>
    <w:p w:rsidR="00432C78" w:rsidRPr="00432C78" w:rsidRDefault="00432C78" w:rsidP="00432C78">
      <w:pPr>
        <w:ind w:left="720"/>
      </w:pPr>
      <w:r w:rsidRPr="00432C78">
        <w:t>…</w:t>
      </w:r>
    </w:p>
    <w:p w:rsidR="00432C78" w:rsidRPr="00432C78" w:rsidRDefault="00432C78" w:rsidP="00432C78">
      <w:pPr>
        <w:ind w:left="720"/>
      </w:pPr>
      <w:r w:rsidRPr="00432C78">
        <w:t>Many of the existing forest management practices allegedly protect forests and homes from wildfire and are having severe adverse effects on forest ecosystem integrity and resilience, and are worsening climate change and diminishing biodiversity.</w:t>
      </w:r>
    </w:p>
    <w:p w:rsidR="00432C78" w:rsidRPr="00432C78" w:rsidRDefault="00432C78" w:rsidP="00432C78">
      <w:pPr>
        <w:ind w:left="720"/>
      </w:pPr>
      <w:r w:rsidRPr="00432C78">
        <w:t>…</w:t>
      </w:r>
    </w:p>
    <w:p w:rsidR="00432C78" w:rsidRPr="00432C78" w:rsidRDefault="00432C78" w:rsidP="00432C78">
      <w:pPr>
        <w:ind w:left="720"/>
      </w:pPr>
      <w:r w:rsidRPr="00432C78">
        <w:t>Hardening home structures in areas with high risk of wildfires such as the wildland-urban interface has been found to be the most effective means to reduce property damage from wildfires.</w:t>
      </w:r>
    </w:p>
    <w:p w:rsidR="00432C78" w:rsidRPr="00432C78" w:rsidRDefault="00432C78" w:rsidP="00432C78">
      <w:r w:rsidRPr="00432C78">
        <w:t xml:space="preserve">Law, Beverly E., William R. </w:t>
      </w:r>
      <w:proofErr w:type="spellStart"/>
      <w:r w:rsidRPr="00432C78">
        <w:t>Moomaw</w:t>
      </w:r>
      <w:proofErr w:type="spellEnd"/>
      <w:r w:rsidRPr="00432C78">
        <w:t xml:space="preserve">, Tara W. </w:t>
      </w:r>
      <w:proofErr w:type="spellStart"/>
      <w:r w:rsidRPr="00432C78">
        <w:t>Hudiburg</w:t>
      </w:r>
      <w:proofErr w:type="spellEnd"/>
      <w:r w:rsidRPr="00432C78">
        <w:t xml:space="preserve">, William H. Schlesinger, John D. </w:t>
      </w:r>
      <w:proofErr w:type="spellStart"/>
      <w:r w:rsidRPr="00432C78">
        <w:t>Sterman</w:t>
      </w:r>
      <w:proofErr w:type="spellEnd"/>
      <w:r w:rsidRPr="00432C78">
        <w:t xml:space="preserve">, and George M. </w:t>
      </w:r>
      <w:proofErr w:type="spellStart"/>
      <w:r w:rsidRPr="00432C78">
        <w:t>Woodwell</w:t>
      </w:r>
      <w:proofErr w:type="spellEnd"/>
      <w:r w:rsidRPr="00432C78">
        <w:t xml:space="preserve">. 2022. Creating Strategic Reserves to Protect Forest Carbon and Reduce Biodiversity Losses in the United States. Land Vol. 11, no. 5: 721. </w:t>
      </w:r>
      <w:hyperlink r:id="rId128" w:history="1">
        <w:r w:rsidRPr="00432C78">
          <w:rPr>
            <w:rStyle w:val="Hyperlink"/>
          </w:rPr>
          <w:t>https://doi.org/10.3390/land11050721</w:t>
        </w:r>
      </w:hyperlink>
      <w:r w:rsidRPr="00432C78">
        <w:t xml:space="preserve">, </w:t>
      </w:r>
      <w:hyperlink r:id="rId129" w:history="1">
        <w:r w:rsidRPr="00432C78">
          <w:rPr>
            <w:rStyle w:val="Hyperlink"/>
          </w:rPr>
          <w:t>https://www.mdpi.com/2073-445X/11/5/721/htm</w:t>
        </w:r>
      </w:hyperlink>
      <w:r w:rsidRPr="00432C78">
        <w:t xml:space="preserve">. </w:t>
      </w:r>
    </w:p>
    <w:p w:rsidR="00432C78" w:rsidRPr="00432C78" w:rsidRDefault="00432C78" w:rsidP="00432C78"/>
    <w:p w:rsidR="00432C78" w:rsidRPr="00432C78" w:rsidRDefault="00432C78" w:rsidP="00432C78">
      <w:r w:rsidRPr="00432C78">
        <w:t>Campbell and Agar (2013) conducted a sensitivity analysis and found robust results indicating that fuel reduction does not increase forest carbon storage.</w:t>
      </w:r>
    </w:p>
    <w:p w:rsidR="00432C78" w:rsidRPr="00432C78" w:rsidRDefault="00432C78" w:rsidP="00432C78">
      <w:pPr>
        <w:ind w:left="720"/>
      </w:pPr>
      <w:r w:rsidRPr="00432C78">
        <w:t xml:space="preserve">… we attempt to remove some of the confusion surrounding this subject by performing a sensitivity analysis wherein long-term, landscape-wide carbon stocks are simulated under a wide range of treatment efficacy, treatment lifespan, fire impacts, forest recovery rates, forest decay rates, and the longevity of wood products. Our results indicate a </w:t>
      </w:r>
      <w:r w:rsidRPr="00432C78">
        <w:lastRenderedPageBreak/>
        <w:t>surprising insensitivity of long-term carbon stocks to both management and biological variables. After 80 years, … a 1600% change in either treatment application rate or efficacy in arresting fire spread resulted in only a 10% change in total system carbon. This insensitivity of long-term carbon stocks is due in part by the infrequency of treatment/wildfire interaction and in part by the controls imposed by maximum forest biomass. None of the fuel treatment simulation scenarios resulted in increased system carbon.</w:t>
      </w:r>
    </w:p>
    <w:p w:rsidR="00432C78" w:rsidRPr="00432C78" w:rsidRDefault="00432C78" w:rsidP="00432C78">
      <w:r w:rsidRPr="00432C78">
        <w:t xml:space="preserve">Campbell, J, Agar, A (2013) Forest wildfire, fuel reduction treatments, and landscape carbon stocks: A sensitivity analysis. Journal of Environmental Management 121 (2013) 124-132 </w:t>
      </w:r>
      <w:hyperlink r:id="rId130" w:history="1">
        <w:r w:rsidRPr="00432C78">
          <w:rPr>
            <w:rStyle w:val="Hyperlink"/>
          </w:rPr>
          <w:t>http://fes.forestry.oregonstate.edu/sites/fes.forestry.oregonstate.edu/files/PDFs/Campbell_2013_JEM.pdf</w:t>
        </w:r>
      </w:hyperlink>
      <w:r w:rsidRPr="00432C78">
        <w:t xml:space="preserve"> </w:t>
      </w:r>
    </w:p>
    <w:p w:rsidR="00432C78" w:rsidRPr="00432C78" w:rsidRDefault="00432C78" w:rsidP="00432C78"/>
    <w:p w:rsidR="00432C78" w:rsidRPr="00432C78" w:rsidRDefault="00432C78" w:rsidP="00432C78">
      <w:r w:rsidRPr="00432C78">
        <w:t>This graph shows that logging for fuel reduction rarely interacts with wildfire, which explains why the carbon emissions from widespread fuel reduction logging vastly exceeds the carbon emissions avoided in the rare cases where fuel reduction does interact favorably with wildfire.</w:t>
      </w:r>
    </w:p>
    <w:p w:rsidR="00432C78" w:rsidRPr="00432C78" w:rsidRDefault="00432C78" w:rsidP="00432C78">
      <w:pPr>
        <w:ind w:left="720"/>
        <w:rPr>
          <w:color w:val="000000"/>
        </w:rPr>
      </w:pPr>
      <w:r w:rsidRPr="00432C78">
        <w:rPr>
          <w:color w:val="000000"/>
        </w:rPr>
        <w:fldChar w:fldCharType="begin"/>
      </w:r>
      <w:r w:rsidRPr="00432C78">
        <w:rPr>
          <w:color w:val="000000"/>
        </w:rPr>
        <w:instrText xml:space="preserve"> INCLUDEPICTURE "https://lh5.googleusercontent.com/OTzRBt0tDYRyyOhse_tZpJsC3KGjbT7--PRnRPEtWwF6Y97zGEdCBTmPRWxDOMF47pcasQWvyd-rjnLFIRreHUEMw9VU7As5EQZQWBoUtjPsXje7yQ_-9N_HoOuSY2JUyQ8OhdOz" \* MERGEFORMATINET </w:instrText>
      </w:r>
      <w:r w:rsidRPr="00432C78">
        <w:rPr>
          <w:color w:val="000000"/>
        </w:rPr>
        <w:fldChar w:fldCharType="separate"/>
      </w:r>
      <w:r w:rsidRPr="00432C78">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89.4pt;height:219.6pt">
            <v:imagedata r:id="rId131" r:href="rId132"/>
          </v:shape>
        </w:pict>
      </w:r>
      <w:r w:rsidRPr="00432C78">
        <w:rPr>
          <w:color w:val="000000"/>
        </w:rPr>
        <w:fldChar w:fldCharType="end"/>
      </w:r>
    </w:p>
    <w:p w:rsidR="00432C78" w:rsidRPr="00432C78" w:rsidRDefault="00432C78" w:rsidP="00432C78"/>
    <w:p w:rsidR="00432C78" w:rsidRPr="00432C78" w:rsidRDefault="00432C78" w:rsidP="00432C78">
      <w:pPr>
        <w:autoSpaceDE w:val="0"/>
      </w:pPr>
    </w:p>
    <w:p w:rsidR="00432C78" w:rsidRPr="00432C78" w:rsidRDefault="00432C78" w:rsidP="00432C78">
      <w:pPr>
        <w:autoSpaceDE w:val="0"/>
      </w:pPr>
      <w:r w:rsidRPr="00432C78">
        <w:t xml:space="preserve">There are now </w:t>
      </w:r>
      <w:proofErr w:type="spellStart"/>
      <w:r w:rsidRPr="00432C78">
        <w:t>webtools</w:t>
      </w:r>
      <w:proofErr w:type="spellEnd"/>
      <w:r w:rsidRPr="00432C78">
        <w:t xml:space="preserve"> available that can help the agencies deal with uncertainty surrounding the efficacy of fuel reduction. For instance, this web-based spreadsheet (</w:t>
      </w:r>
      <w:hyperlink r:id="rId133" w:history="1">
        <w:r w:rsidRPr="00432C78">
          <w:rPr>
            <w:rStyle w:val="Hyperlink"/>
          </w:rPr>
          <w:t>http://getguesstimate.com/</w:t>
        </w:r>
      </w:hyperlink>
      <w:r w:rsidRPr="00432C78">
        <w:t>) allows users to create models with confidence intervals around input variables. Then it runs thousands of Monte Carlo simulations to come up with estimates of model behavior. The agencies could use this to better estimate the improbability that fuel treatments would interact with fire and estimate the improbable carbon benefits of fuel reduction logging.</w:t>
      </w:r>
    </w:p>
    <w:p w:rsidR="00432C78" w:rsidRPr="00432C78" w:rsidRDefault="00432C78" w:rsidP="00432C78"/>
    <w:p w:rsidR="00432C78" w:rsidRPr="00432C78" w:rsidRDefault="00432C78" w:rsidP="00432C78">
      <w:r w:rsidRPr="00432C78">
        <w:t>Before attributing carbon benefits to fuel reduction logging please consider the conclusions of:</w:t>
      </w:r>
    </w:p>
    <w:p w:rsidR="00432C78" w:rsidRPr="00432C78" w:rsidRDefault="00432C78" w:rsidP="00432C78">
      <w:pPr>
        <w:numPr>
          <w:ilvl w:val="0"/>
          <w:numId w:val="13"/>
        </w:numPr>
        <w:suppressAutoHyphens/>
        <w:spacing w:line="240" w:lineRule="auto"/>
      </w:pPr>
      <w:r w:rsidRPr="00432C78">
        <w:t xml:space="preserve">John L Campbell, Mark E Harmon, and Stephen R Mitchell. 2011. Can fuel-reduction treatments really increase forest carbon storage in the western US by reducing future fire emissions? Front Ecol Environ 2011; doi:10.1890/110057 </w:t>
      </w:r>
      <w:hyperlink r:id="rId134" w:history="1">
        <w:r w:rsidRPr="00432C78">
          <w:rPr>
            <w:rStyle w:val="Hyperlink"/>
          </w:rPr>
          <w:t>http://forestpolicypub.com/wp-content/uploads/2011/12/campbell-2011.pdf</w:t>
        </w:r>
      </w:hyperlink>
      <w:r w:rsidRPr="00432C78">
        <w:rPr>
          <w:color w:val="0000FF"/>
          <w:u w:val="single"/>
        </w:rPr>
        <w:t xml:space="preserve">. </w:t>
      </w:r>
      <w:r w:rsidRPr="00432C78">
        <w:t xml:space="preserve"> (Results suggest that the protection of one </w:t>
      </w:r>
      <w:r w:rsidRPr="00432C78">
        <w:lastRenderedPageBreak/>
        <w:t xml:space="preserve">unit of C from wildfire combustion comes at the cost of removing three units of C in fuel treatments.) </w:t>
      </w:r>
    </w:p>
    <w:p w:rsidR="00432C78" w:rsidRPr="00432C78" w:rsidRDefault="00432C78" w:rsidP="00432C78">
      <w:pPr>
        <w:numPr>
          <w:ilvl w:val="0"/>
          <w:numId w:val="13"/>
        </w:numPr>
        <w:suppressAutoHyphens/>
        <w:spacing w:line="240" w:lineRule="auto"/>
      </w:pPr>
      <w:r w:rsidRPr="00432C78">
        <w:t xml:space="preserve">Mitchell, Harmon, O’Connell. 2009. Forest fuel reduction alters fire severity and long-term carbon storage in three Pacific Northwest ecosystems. Ecological Applications. 19(3), 2009, pp. 643–655. </w:t>
      </w:r>
      <w:hyperlink r:id="rId135" w:history="1">
        <w:r w:rsidRPr="00432C78">
          <w:rPr>
            <w:rStyle w:val="Hyperlink"/>
          </w:rPr>
          <w:t>https://web.archive.org/web/20111024074629/http://www.fs.fed.us/pnw/pubs/journals/pnw_2009_mitchell001.pdf</w:t>
        </w:r>
      </w:hyperlink>
      <w:r w:rsidRPr="00432C78">
        <w:t>. (“…reducing the fraction by which C is lost in a wildfire requires the removal of a much greater amount of C, since most of the C stored in forest biomass (stem wood, branches, coarse woody debris) remains unconsumed even by high-severity wildfires. For this reason, all of the fuel reduction treatments simulated for the west Cascades and Coast Range ecosystems as well as most of the treatments simulated for the east Cascades resulted in a reduced mean stand C storage…. We suggest that forest management plans aimed solely at ameliorating increases in atmospheric CO2 should forego fuel reduction treatments …”)</w:t>
      </w:r>
    </w:p>
    <w:p w:rsidR="00432C78" w:rsidRPr="00432C78" w:rsidRDefault="00432C78" w:rsidP="00432C78">
      <w:pPr>
        <w:numPr>
          <w:ilvl w:val="0"/>
          <w:numId w:val="13"/>
        </w:numPr>
        <w:suppressAutoHyphens/>
        <w:spacing w:line="240" w:lineRule="auto"/>
      </w:pPr>
      <w:r w:rsidRPr="00432C78">
        <w:t xml:space="preserve">Reinhardt, Elizabeth, and Lisa </w:t>
      </w:r>
      <w:proofErr w:type="spellStart"/>
      <w:r w:rsidRPr="00432C78">
        <w:t>Holsinger</w:t>
      </w:r>
      <w:proofErr w:type="spellEnd"/>
      <w:r w:rsidRPr="00432C78">
        <w:t xml:space="preserve"> 2010. Effects of fuel treatments on carbon-disturbance relationships in forests of the northern Rocky Mountains. Forest Ecology and Management 259 (2010) 1427–1435. </w:t>
      </w:r>
      <w:hyperlink r:id="rId136" w:history="1">
        <w:r w:rsidRPr="00432C78">
          <w:rPr>
            <w:rStyle w:val="Hyperlink"/>
          </w:rPr>
          <w:t>http://www.fs.fed.us/rm/pubs_other/rmrs_2010_reinhardt_e002.pdf</w:t>
        </w:r>
      </w:hyperlink>
      <w:r w:rsidRPr="00432C78">
        <w:t xml:space="preserve"> (“Although wildfire emissions were reduced by fuel treatment, the fuel treatments themselves produced [carbon] emissions, and the untreated stands stored more carbon than the treated stands even after wildfire. … Our results show generally long recovery times …”) </w:t>
      </w:r>
    </w:p>
    <w:p w:rsidR="00432C78" w:rsidRPr="00432C78" w:rsidRDefault="00432C78" w:rsidP="00432C78">
      <w:pPr>
        <w:numPr>
          <w:ilvl w:val="0"/>
          <w:numId w:val="13"/>
        </w:numPr>
        <w:suppressAutoHyphens/>
        <w:spacing w:line="240" w:lineRule="auto"/>
      </w:pPr>
      <w:r w:rsidRPr="00432C78">
        <w:t xml:space="preserve">Law, B. &amp; M.E. Harmon 2011. Forest sector carbon management, measurement and verification, and discussion of policy related to mitigation and adaptation of forests to climate change. Carbon Management 2011 2(1). </w:t>
      </w:r>
      <w:hyperlink r:id="rId137" w:history="1">
        <w:r w:rsidRPr="00432C78">
          <w:rPr>
            <w:rStyle w:val="Hyperlink"/>
          </w:rPr>
          <w:t>https://archives.corvallisoregon.gov/public/ElectronicFile.aspx?dbid=0&amp;docid=4256162</w:t>
        </w:r>
      </w:hyperlink>
      <w:r w:rsidRPr="00432C78">
        <w:t xml:space="preserve"> (“Thinning forests to reduce potential carbon losses due to wildfire is in direct conflict with carbon sequestration goals, and, if implemented, would result in a net emission of CO2 to the atmosphere because the amount of carbon removed to change fire behavior is often far larger than that saved by changing fire behavior, and more area has to be harvested than will ultimately burn over the period of effectiveness of the thinning treatment.”)</w:t>
      </w:r>
    </w:p>
    <w:p w:rsidR="00432C78" w:rsidRPr="00432C78" w:rsidRDefault="00432C78" w:rsidP="00432C78">
      <w:pPr>
        <w:numPr>
          <w:ilvl w:val="0"/>
          <w:numId w:val="13"/>
        </w:numPr>
        <w:suppressAutoHyphens/>
        <w:spacing w:line="240" w:lineRule="auto"/>
      </w:pPr>
      <w:proofErr w:type="spellStart"/>
      <w:r w:rsidRPr="00432C78">
        <w:t>Restaino</w:t>
      </w:r>
      <w:proofErr w:type="spellEnd"/>
      <w:r w:rsidRPr="00432C78">
        <w:t xml:space="preserve">, Joseph C.; Peterson, David L. 2013. Wildfire and fuel treatment effects on forest carbon dynamics in the western United States. Forest Ecology and Management 303:46-60. </w:t>
      </w:r>
      <w:hyperlink r:id="rId138" w:history="1">
        <w:r w:rsidRPr="00432C78">
          <w:rPr>
            <w:rStyle w:val="Hyperlink"/>
          </w:rPr>
          <w:t>http://www.fs.fed.us/pnw/pubs/journals/pnw_2013_restiano001.pdf</w:t>
        </w:r>
      </w:hyperlink>
      <w:r w:rsidRPr="00432C78">
        <w:t xml:space="preserve"> (“… C costs associated with fuel treatments have can exceed the magnitude of C reduction in wildfire emissions, because a large percentage of biomass stored in forests (i.e., stem wood, branches, coarse woody debris) remains unconsumed, even in high-severity fires (Campbell et al., 2007; Mitchell et al., 2009). … Wildfire occurrence in a given area is uncertain and may never interact with treated stands with reduced fire hazard, ostensibly negating expected C benefits from fuel treatments. Burn probabilities in treated stands in southern Oregon are less than 2%, so the probability that a treated stand encounters wildfire and creates C benefits is low (Ager et al., 2010).)”</w:t>
      </w:r>
    </w:p>
    <w:p w:rsidR="00432C78" w:rsidRPr="00432C78" w:rsidRDefault="00432C78" w:rsidP="00432C78">
      <w:pPr>
        <w:numPr>
          <w:ilvl w:val="0"/>
          <w:numId w:val="13"/>
        </w:numPr>
        <w:suppressAutoHyphens/>
        <w:spacing w:line="240" w:lineRule="auto"/>
      </w:pPr>
      <w:proofErr w:type="spellStart"/>
      <w:r w:rsidRPr="00432C78">
        <w:t>Goslee</w:t>
      </w:r>
      <w:proofErr w:type="spellEnd"/>
      <w:r w:rsidRPr="00432C78">
        <w:t xml:space="preserve">, K., Pearson, T., </w:t>
      </w:r>
      <w:proofErr w:type="spellStart"/>
      <w:r w:rsidRPr="00432C78">
        <w:t>Grimland</w:t>
      </w:r>
      <w:proofErr w:type="spellEnd"/>
      <w:r w:rsidRPr="00432C78">
        <w:t xml:space="preserve">, S., </w:t>
      </w:r>
      <w:proofErr w:type="spellStart"/>
      <w:r w:rsidRPr="00432C78">
        <w:t>Petrova</w:t>
      </w:r>
      <w:proofErr w:type="spellEnd"/>
      <w:r w:rsidRPr="00432C78">
        <w:t xml:space="preserve">, S., Walls, J., Brown, S., 2010. Final Report on WESTCARB Fuels Management Pilot Activities in Lake County, Oregon. California Energy Commission, PIER. DOE Contract No.: DE-FC26-05NT42593. </w:t>
      </w:r>
      <w:hyperlink r:id="rId139" w:history="1">
        <w:r w:rsidRPr="00432C78">
          <w:rPr>
            <w:rStyle w:val="Hyperlink"/>
          </w:rPr>
          <w:t>https://escholarship.org/content/qt9xg9n2pj/qt9xg9n2pj.pdf?t=r15vej</w:t>
        </w:r>
      </w:hyperlink>
      <w:r w:rsidRPr="00432C78">
        <w:t xml:space="preserve">; AND Pearson, T.R.H., </w:t>
      </w:r>
      <w:proofErr w:type="spellStart"/>
      <w:r w:rsidRPr="00432C78">
        <w:t>Goslee</w:t>
      </w:r>
      <w:proofErr w:type="spellEnd"/>
      <w:r w:rsidRPr="00432C78">
        <w:t xml:space="preserve">, K., Brown, S., 2010. Emissions and Potential Emission Reductions from Hazardous Fuel Treatments in the WESTCARB Region. California Energy Commission, PIER. CEC-500-2014-046. </w:t>
      </w:r>
      <w:hyperlink r:id="rId140" w:history="1">
        <w:r w:rsidRPr="00432C78">
          <w:rPr>
            <w:rStyle w:val="Hyperlink"/>
          </w:rPr>
          <w:t>https://winrock.org/wp-content/uploads/2016/03/WCHazardousFuelsReport.pdf</w:t>
        </w:r>
      </w:hyperlink>
      <w:r w:rsidRPr="00432C78">
        <w:t xml:space="preserve">. (Summarized by </w:t>
      </w:r>
      <w:proofErr w:type="spellStart"/>
      <w:r w:rsidRPr="00432C78">
        <w:t>Restaino</w:t>
      </w:r>
      <w:proofErr w:type="spellEnd"/>
      <w:r w:rsidRPr="00432C78">
        <w:t xml:space="preserve"> &amp; Peterson (2013) as follows: “Pearson et al. (2010) and </w:t>
      </w:r>
      <w:proofErr w:type="spellStart"/>
      <w:r w:rsidRPr="00432C78">
        <w:t>Goslee</w:t>
      </w:r>
      <w:proofErr w:type="spellEnd"/>
      <w:r w:rsidRPr="00432C78">
        <w:t xml:space="preserve"> et al. (2010) developed methodologies to evaluate C dynamics associated with fuel treatment projects in low to mid-</w:t>
      </w:r>
      <w:r w:rsidRPr="00432C78">
        <w:lastRenderedPageBreak/>
        <w:t>elevation forest in northern California and Oregon. The authors, with consultation from teams of scientists, quantify C storage and release within the context of a six-point conceptual framework: annual fire risk, treatment emissions, fire emissions, forest growth and re-growth, re-treatment, and the shadow effect (i.e.,  treatment effect outside the treated area). Results indicate that the mean annual probability of wildfire for the study region is less than 0.76%/year, and treatments reduce C stocks by an average of 19%. Where timber is removed, 30% of extracted biomass is stored in long-lasting wood products. Wildfire emissions in treated stands, quantified with the Fuel Characteristic Classification System, are reduced by 6% relative to untreated stands. Growth estimates for a 60-year simulation horizon, derived from FVS, indicate that in the absence of wildfire, untreated stands sequester 17% more C than treated stands. However, in simulations that include wildfire, treated stands sequester 63% more C than untreated stands. The shadow effect is unlikely to be large enough to affect net GHG emissions. In summary, initial reductions in C stocks (e.g., thinning), combined with low annual probability of wildfire, preclude C benefits associated with fuel treatments, even if harvest residues are used for biomass energy.”)</w:t>
      </w:r>
    </w:p>
    <w:p w:rsidR="00432C78" w:rsidRPr="00432C78" w:rsidRDefault="00432C78" w:rsidP="00432C78">
      <w:pPr>
        <w:numPr>
          <w:ilvl w:val="0"/>
          <w:numId w:val="13"/>
        </w:numPr>
        <w:suppressAutoHyphens/>
        <w:spacing w:line="240" w:lineRule="auto"/>
      </w:pPr>
      <w:proofErr w:type="spellStart"/>
      <w:r w:rsidRPr="00432C78">
        <w:t>Chiono</w:t>
      </w:r>
      <w:proofErr w:type="spellEnd"/>
      <w:r w:rsidRPr="00432C78">
        <w:t xml:space="preserve">, Lindsay 2011. Balancing the Carbon Costs and Benefits of Fuels Management. Research Synthesis for Resource Managers. Joint Fire Science Program Knowledge Exchange. </w:t>
      </w:r>
      <w:hyperlink r:id="rId141" w:history="1">
        <w:r w:rsidRPr="00432C78">
          <w:rPr>
            <w:rStyle w:val="Hyperlink"/>
          </w:rPr>
          <w:t>https://static1.squarespace.com/static/545a90ede4b026480c02c5c7/t/5527ebd9e4b0f620d0cb5b58/1428679641640/CFSC_Chiono_Carbon_and_Fuel_Mngmt.pdf</w:t>
        </w:r>
      </w:hyperlink>
      <w:r w:rsidRPr="00432C78">
        <w:t xml:space="preserve"> (“[T]he net carbon impact of fuel treatments is further complicated by the probabilistic nature of wildfire occurrence and the impermanence of post-treatment stand conditions … [T]</w:t>
      </w:r>
      <w:proofErr w:type="spellStart"/>
      <w:r w:rsidRPr="00432C78">
        <w:t>reatment</w:t>
      </w:r>
      <w:proofErr w:type="spellEnd"/>
      <w:r w:rsidRPr="00432C78">
        <w:t xml:space="preserve"> activities produce an immediate carbon emission while future wildfire emissions are uncertain … Depending on the intensity of treatment, the quantity of carbon removed may be substantial enough to negate gains from avoided wildfire emissions. … cumulative emissions from fuels reduction activities repeated in order to maintain low hazard conditions over time can overwhelm avoided wildfire emissions, resulting in a net carbon loss.”)</w:t>
      </w:r>
    </w:p>
    <w:p w:rsidR="00432C78" w:rsidRPr="00432C78" w:rsidRDefault="00432C78" w:rsidP="00432C78">
      <w:pPr>
        <w:numPr>
          <w:ilvl w:val="0"/>
          <w:numId w:val="13"/>
        </w:numPr>
        <w:suppressAutoHyphens/>
        <w:spacing w:line="240" w:lineRule="auto"/>
      </w:pPr>
      <w:r w:rsidRPr="00432C78">
        <w:t xml:space="preserve">Dina Fine </w:t>
      </w:r>
      <w:proofErr w:type="spellStart"/>
      <w:r w:rsidRPr="00432C78">
        <w:t>Maron</w:t>
      </w:r>
      <w:proofErr w:type="spellEnd"/>
      <w:r w:rsidRPr="00432C78">
        <w:t xml:space="preserve"> 2010. FORESTS: Researchers find carbon offsets aren't justified for removing understory (E&amp;E Report 08/19/2010, reporting on the WESTCARB Project) </w:t>
      </w:r>
      <w:hyperlink r:id="rId142" w:history="1">
        <w:r w:rsidRPr="00432C78">
          <w:rPr>
            <w:rStyle w:val="Hyperlink"/>
          </w:rPr>
          <w:t>https://pacificforest.org/pft-in-the-media-2010-climatewire-8-19-10.html</w:t>
        </w:r>
      </w:hyperlink>
      <w:r w:rsidRPr="00432C78">
        <w:t xml:space="preserve">. (“’The take-home message is we could not find a greenhouse gas benefit from treating forests to reduce the risk of fire,’ said John </w:t>
      </w:r>
      <w:proofErr w:type="spellStart"/>
      <w:r w:rsidRPr="00432C78">
        <w:t>Kadyszewski</w:t>
      </w:r>
      <w:proofErr w:type="spellEnd"/>
      <w:r w:rsidRPr="00432C78">
        <w:t>, the principal investigator for the terrestrial sequestration projects of the West Coast Regional Carbon Sequestration Partnership. WESTCARB, ... Since there is a relatively low risk of fire at any one site, large areas need to be treated -- which release their own emissions in the treatment process. The researchers have concluded that the expected emissions from treatments to reduce fire risk exceed the projected emissions benefits of treatment for individual projects.”)</w:t>
      </w:r>
    </w:p>
    <w:p w:rsidR="00432C78" w:rsidRPr="00432C78" w:rsidRDefault="00432C78" w:rsidP="00432C78">
      <w:pPr>
        <w:numPr>
          <w:ilvl w:val="0"/>
          <w:numId w:val="13"/>
        </w:numPr>
        <w:suppressAutoHyphens/>
        <w:spacing w:line="240" w:lineRule="auto"/>
      </w:pPr>
      <w:r w:rsidRPr="00432C78">
        <w:t xml:space="preserve">Rachel A. </w:t>
      </w:r>
      <w:proofErr w:type="spellStart"/>
      <w:r w:rsidRPr="00432C78">
        <w:t>Loehman</w:t>
      </w:r>
      <w:proofErr w:type="spellEnd"/>
      <w:r w:rsidRPr="00432C78">
        <w:t xml:space="preserve">, Elizabeth Reinhardt, Karin L. Riley 2014. Wildland fire emissions, carbon, and climate: Seeing the forest and the trees – A cross-scale assessment of wildfire and carbon dynamics in fire-prone, forested ecosystems. Forest Ecology and Management 317 (2014) 9–19. </w:t>
      </w:r>
      <w:hyperlink r:id="rId143" w:history="1">
        <w:r w:rsidRPr="00432C78">
          <w:rPr>
            <w:rStyle w:val="Hyperlink"/>
          </w:rPr>
          <w:t>https://web.archive.org/web/20170531073954/https://www.fs.fed.us/rm/pubs_other/rmrs_2014_loehman_r001.pdf</w:t>
        </w:r>
      </w:hyperlink>
      <w:r w:rsidRPr="00432C78">
        <w:t xml:space="preserve"> (“… management of carbon in fire-prone and fire-adapted forests is more complex than simply minimizing wildfire carbon emissions and maximizing stored carbon in individual stands. The stochastic and variable nature of fires, the relatively fine scale over which fuels treatments are implemented, and potentially high carbon costs to implement them suggest that fuel treatments are not an effective method for protecting carbon stocks at a stand level (Reinhardt et al., 2008; Reinhardt and </w:t>
      </w:r>
      <w:proofErr w:type="spellStart"/>
      <w:r w:rsidRPr="00432C78">
        <w:t>Holsinger</w:t>
      </w:r>
      <w:proofErr w:type="spellEnd"/>
      <w:r w:rsidRPr="00432C78">
        <w:t>, 2010).”)</w:t>
      </w:r>
    </w:p>
    <w:p w:rsidR="00432C78" w:rsidRPr="00432C78" w:rsidRDefault="00432C78" w:rsidP="00432C78">
      <w:pPr>
        <w:numPr>
          <w:ilvl w:val="0"/>
          <w:numId w:val="13"/>
        </w:numPr>
        <w:suppressAutoHyphens/>
        <w:spacing w:line="240" w:lineRule="auto"/>
      </w:pPr>
      <w:r w:rsidRPr="00432C78">
        <w:lastRenderedPageBreak/>
        <w:t xml:space="preserve">Jim </w:t>
      </w:r>
      <w:proofErr w:type="spellStart"/>
      <w:r w:rsidRPr="00432C78">
        <w:t>Cathcart</w:t>
      </w:r>
      <w:proofErr w:type="spellEnd"/>
      <w:r w:rsidRPr="00432C78">
        <w:t xml:space="preserve">, Alan A. Ager, Andrew McMahan, Mark Finney, and Brian Watt 2009. Carbon Benefits from Fuel Treatments. USDA Forest Service Proceedings RMRS-P-61. 2010. </w:t>
      </w:r>
      <w:hyperlink r:id="rId144" w:history="1">
        <w:r w:rsidRPr="00432C78">
          <w:rPr>
            <w:rStyle w:val="Hyperlink"/>
          </w:rPr>
          <w:t>https://www.fs.usda.gov/rm/pubs/rmrs_p061/rmrs_p061_061_079.pdf</w:t>
        </w:r>
      </w:hyperlink>
      <w:r w:rsidRPr="00432C78">
        <w:t xml:space="preserve">. </w:t>
      </w:r>
    </w:p>
    <w:p w:rsidR="00432C78" w:rsidRPr="00432C78" w:rsidRDefault="00432C78" w:rsidP="00432C78">
      <w:pPr>
        <w:numPr>
          <w:ilvl w:val="0"/>
          <w:numId w:val="13"/>
        </w:numPr>
        <w:suppressAutoHyphens/>
        <w:spacing w:line="240" w:lineRule="auto"/>
      </w:pPr>
      <w:proofErr w:type="spellStart"/>
      <w:r w:rsidRPr="00432C78">
        <w:t>Chiono</w:t>
      </w:r>
      <w:proofErr w:type="spellEnd"/>
      <w:r w:rsidRPr="00432C78">
        <w:t xml:space="preserve">, L. A., D. L. Fry, B. M. Collins, A. H. Chatfield, and S. L. Stephens. 2017. Landscape-scale fuel treatment and wildfire impacts on carbon stocks and fire hazard in California spotted owl habitat. Ecosphere 8(1):e01648. 10.1002/ecs2.1648. </w:t>
      </w:r>
      <w:hyperlink r:id="rId145" w:history="1">
        <w:r w:rsidRPr="00432C78">
          <w:rPr>
            <w:rStyle w:val="Hyperlink"/>
          </w:rPr>
          <w:t>https://esajournals.onlinelibrary.wiley.com/doi/10.1002/ecs2.1648</w:t>
        </w:r>
      </w:hyperlink>
      <w:r w:rsidRPr="00432C78">
        <w:t xml:space="preserve"> (“We used a probabilistic framework of wildfire occurrence to (1) estimate the potential for fuel treatments to reduce fire risk and hazard across the landscape and within protected California spotted owl (</w:t>
      </w:r>
      <w:proofErr w:type="spellStart"/>
      <w:r w:rsidRPr="00432C78">
        <w:t>Strix</w:t>
      </w:r>
      <w:proofErr w:type="spellEnd"/>
      <w:r w:rsidRPr="00432C78">
        <w:t xml:space="preserve"> </w:t>
      </w:r>
      <w:proofErr w:type="spellStart"/>
      <w:r w:rsidRPr="00432C78">
        <w:t>occidentalis</w:t>
      </w:r>
      <w:proofErr w:type="spellEnd"/>
      <w:r w:rsidRPr="00432C78">
        <w:t xml:space="preserve"> </w:t>
      </w:r>
      <w:proofErr w:type="spellStart"/>
      <w:r w:rsidRPr="00432C78">
        <w:t>occidentalis</w:t>
      </w:r>
      <w:proofErr w:type="spellEnd"/>
      <w:r w:rsidRPr="00432C78">
        <w:t>) habitat and (2) evaluate the consequences of treatments with respect to terrestrial C stocks and burning emissions. Silvicultural and prescribed fire treatments were simulated on 20% of a northern Sierra Nevada landscape in three treatment scenarios … [A]</w:t>
      </w:r>
      <w:proofErr w:type="spellStart"/>
      <w:r w:rsidRPr="00432C78">
        <w:t>ll</w:t>
      </w:r>
      <w:proofErr w:type="spellEnd"/>
      <w:r w:rsidRPr="00432C78">
        <w:t xml:space="preserve"> treatment scenarios resulted in higher C emissions than the no-treatment scenarios.”)</w:t>
      </w:r>
    </w:p>
    <w:p w:rsidR="00432C78" w:rsidRPr="00432C78" w:rsidRDefault="00432C78" w:rsidP="00432C78">
      <w:pPr>
        <w:numPr>
          <w:ilvl w:val="0"/>
          <w:numId w:val="13"/>
        </w:numPr>
        <w:suppressAutoHyphens/>
        <w:spacing w:line="240" w:lineRule="auto"/>
      </w:pPr>
      <w:proofErr w:type="spellStart"/>
      <w:r w:rsidRPr="00432C78">
        <w:t>Stenzel</w:t>
      </w:r>
      <w:proofErr w:type="spellEnd"/>
      <w:r w:rsidRPr="00432C78">
        <w:t xml:space="preserve">, J. E., </w:t>
      </w:r>
      <w:proofErr w:type="spellStart"/>
      <w:r w:rsidRPr="00432C78">
        <w:t>Berardi</w:t>
      </w:r>
      <w:proofErr w:type="spellEnd"/>
      <w:r w:rsidRPr="00432C78">
        <w:t xml:space="preserve">, D. B., Walsh, E. S., &amp; </w:t>
      </w:r>
      <w:proofErr w:type="spellStart"/>
      <w:r w:rsidRPr="00432C78">
        <w:t>Hudiburg</w:t>
      </w:r>
      <w:proofErr w:type="spellEnd"/>
      <w:r w:rsidRPr="00432C78">
        <w:t xml:space="preserve">, T. W. (2021). Restoration thinning in a drought-prone Idaho forest creates a persistent carbon deficit. Journal of Geophysical Research: </w:t>
      </w:r>
      <w:proofErr w:type="spellStart"/>
      <w:r w:rsidRPr="00432C78">
        <w:t>Biogeosciences</w:t>
      </w:r>
      <w:proofErr w:type="spellEnd"/>
      <w:r w:rsidRPr="00432C78">
        <w:t xml:space="preserve">, 126, e2020JG005815. </w:t>
      </w:r>
      <w:hyperlink r:id="rId146" w:history="1">
        <w:r w:rsidRPr="00432C78">
          <w:rPr>
            <w:rStyle w:val="Hyperlink"/>
          </w:rPr>
          <w:t>https://agupubs.onlinelibrary.wiley.com/doi/epdf/10.1029/2020JG005815</w:t>
        </w:r>
      </w:hyperlink>
      <w:r w:rsidRPr="00432C78">
        <w:t xml:space="preserve"> (“Forest thinning in a young ponderosa pine plantation resulted in observed and modeled decreases in ecosystem and forest sector carbon storage over unmanaged control plots through the year 2050. Despite increased tree-level production and water use in a location characterized by growing season drought stress, this study affirms inherent site tradeoffs between individual tree vigor and stand carbon storage over time. We estimate that thinned plot carbon stocks will return to prethinned levels by 2035 (Figure 6), but forest sector carbon parity (Mitchell et al., 2012) with untreated plots will not occur by 2050 and therefore represents a relative carbon source to the atmosphere in the absence of disturbance. …[A] carbon deficit relative to control remained due to the removal of </w:t>
      </w:r>
      <w:r w:rsidRPr="00432C78">
        <w:rPr>
          <w:rFonts w:ascii="Cambria Math" w:hAnsi="Cambria Math" w:cs="Cambria Math"/>
        </w:rPr>
        <w:t>∼</w:t>
      </w:r>
      <w:r w:rsidRPr="00432C78">
        <w:t xml:space="preserve">40% of live ecosystem carbon as well as the subsequent release of </w:t>
      </w:r>
      <w:r w:rsidRPr="00432C78">
        <w:rPr>
          <w:rFonts w:ascii="Cambria Math" w:hAnsi="Cambria Math" w:cs="Cambria Math"/>
        </w:rPr>
        <w:t>∼</w:t>
      </w:r>
      <w:r w:rsidRPr="00432C78">
        <w:t>60% of removed biomass by 2050. Despite the continued storage of a portion of removed biomass in long-lived wood products, large immediate and short-term emissions were associated with slash combustion, on-site decomposition, and short-term product chain emissions (i.e., waste and paper), and do not represent avoided emissions through 2050. A multidecadal ecosystem biomass (i.e., carbon) deficit following moderate and heavy partial harvest is supported by most analyses of mid to long-term thinning structural impacts (James et al., 2018; Zhou et al., 2013), …”).</w:t>
      </w:r>
    </w:p>
    <w:p w:rsidR="00432C78" w:rsidRPr="00432C78" w:rsidRDefault="00432C78" w:rsidP="00432C78">
      <w:pPr>
        <w:numPr>
          <w:ilvl w:val="0"/>
          <w:numId w:val="13"/>
        </w:numPr>
        <w:suppressAutoHyphens/>
        <w:spacing w:line="240" w:lineRule="auto"/>
      </w:pPr>
      <w:r w:rsidRPr="00432C78">
        <w:t xml:space="preserve">Harmon, M.E.; Hanson, C.T.; </w:t>
      </w:r>
      <w:proofErr w:type="spellStart"/>
      <w:r w:rsidRPr="00432C78">
        <w:t>DellaSala</w:t>
      </w:r>
      <w:proofErr w:type="spellEnd"/>
      <w:r w:rsidRPr="00432C78">
        <w:t xml:space="preserve">, D.A. 2022. Combustion of Aboveground Wood from Live Trees in Megafires, CA, USA. Forests 2022, 13, 391.  </w:t>
      </w:r>
      <w:hyperlink r:id="rId147" w:history="1">
        <w:r w:rsidRPr="00432C78">
          <w:rPr>
            <w:rStyle w:val="Hyperlink"/>
          </w:rPr>
          <w:t>https://doi.org/10.3390/f13030391</w:t>
        </w:r>
      </w:hyperlink>
      <w:r w:rsidRPr="00432C78">
        <w:t xml:space="preserve">; </w:t>
      </w:r>
      <w:hyperlink r:id="rId148" w:history="1">
        <w:r w:rsidRPr="00432C78">
          <w:rPr>
            <w:rStyle w:val="Hyperlink"/>
          </w:rPr>
          <w:t>https://www.mdpi.com/1999-4907/13/3/391/pdf</w:t>
        </w:r>
      </w:hyperlink>
      <w:r w:rsidRPr="00432C78">
        <w:t xml:space="preserve">  (“Biomass combustion is a major biogeochemical process, but uncertain in magnitude. We examined multiple levels of organization (twigs, branches, trees, stands, and landscapes) in large, severe forest fires … [C]</w:t>
      </w:r>
      <w:proofErr w:type="spellStart"/>
      <w:r w:rsidRPr="00432C78">
        <w:t>ombustion</w:t>
      </w:r>
      <w:proofErr w:type="spellEnd"/>
      <w:r w:rsidRPr="00432C78">
        <w:t xml:space="preserve"> rates are very low overall at the stand (0.1%–3.2%) and landscape level (0.6%–1.8%), because large trees with low combustion rates comprise the majority of biomass, and high severity fire patches are less than half of the area burned. Our findings of low live wood combustion rates have important implications for policies related to wildfire emissions and forest management.”).</w:t>
      </w:r>
    </w:p>
    <w:p w:rsidR="00432C78" w:rsidRPr="00432C78" w:rsidRDefault="00432C78" w:rsidP="00432C78">
      <w:pPr>
        <w:numPr>
          <w:ilvl w:val="0"/>
          <w:numId w:val="13"/>
        </w:numPr>
        <w:suppressAutoHyphens/>
        <w:spacing w:line="240" w:lineRule="auto"/>
      </w:pPr>
      <w:r w:rsidRPr="00432C78">
        <w:t xml:space="preserve">John W </w:t>
      </w:r>
      <w:proofErr w:type="spellStart"/>
      <w:r w:rsidRPr="00432C78">
        <w:t>Coulston</w:t>
      </w:r>
      <w:proofErr w:type="spellEnd"/>
      <w:r w:rsidRPr="00432C78">
        <w:t xml:space="preserve"> et al 2023. Near-term investments in forest management support long-term carbon sequestration capacity in forests of the United States, PNAS Nexus (2023). DOI: 10.1093/</w:t>
      </w:r>
      <w:proofErr w:type="spellStart"/>
      <w:r w:rsidRPr="00432C78">
        <w:t>pnasnexus</w:t>
      </w:r>
      <w:proofErr w:type="spellEnd"/>
      <w:r w:rsidRPr="00432C78">
        <w:t>/pgad345 (</w:t>
      </w:r>
      <w:hyperlink r:id="rId149" w:history="1">
        <w:r w:rsidRPr="00432C78">
          <w:rPr>
            <w:rStyle w:val="Hyperlink"/>
          </w:rPr>
          <w:t>pdf</w:t>
        </w:r>
      </w:hyperlink>
      <w:r w:rsidRPr="00432C78">
        <w:t xml:space="preserve">). (“Fuel treatments are designed to temporarily reduce carbon from forests through thinning, prescribed fire, or other mechanical means, and under a fuel high-treatment (FHT) scenario [10-50% of basal area removed] (Fig. 1D), 288 MMT of aboveground carbon will be removed from western forests by 2032 (Fig. 2B). Under a fuel low-treatment (FLT) scenario [10-25% of basal area removed] (Fig. 1D), 194 MMT of </w:t>
      </w:r>
      <w:r w:rsidRPr="00432C78">
        <w:lastRenderedPageBreak/>
        <w:t>carbon will be removed (Fig. 2B). The fuel-treatment scenarios have two additional short-term (2022–2032) effects: (</w:t>
      </w:r>
      <w:proofErr w:type="spellStart"/>
      <w:r w:rsidRPr="00432C78">
        <w:t>i</w:t>
      </w:r>
      <w:proofErr w:type="spellEnd"/>
      <w:r w:rsidRPr="00432C78">
        <w:t xml:space="preserve">) lost sequestration potential from live tree removal and (ii) decreased wildfire carbon emissions (Fig. 2B). … </w:t>
      </w:r>
      <w:r w:rsidRPr="00432C78">
        <w:rPr>
          <w:color w:val="2A2A2A"/>
          <w:shd w:val="clear" w:color="auto" w:fill="FFFFFF"/>
        </w:rPr>
        <w:t>Results for the fuel-treatment scenarios suggest a negative mitigation potential in the near-term largely due to the removal of live trees. In the longer term, projections suggest a positive, but small, mitigation potential largely due to increased growth of thinned stands and reduced fire mortality. Under the FHT scenario, in 2032, projections suggest a −31 MMT yr−1 mitigation potential, indicating that forests would have less net annual carbon accumulation with the fuel treatments. Conversely, by 2050, the FHT fuel treatments may lead to a +6 MMT yr−1 mitigation potential (about 4.5% of current flux). These results highlight that carbon accumulation through net forest growth is unlikely to offset carbon removal and loss of sequestration potential from fuel treatments in the near term. In the longer term, the treatments may lead to small increases in annual accumulation rates due to avoided wildfire emissions and improved growth in thinned forests. However, the projected cumulative 2022–2050 carbon sequestered under the FLT and FHT scenarios is 200 and 310 MMT less, respectively, than the baseline (Fig. 2D), indicating a reduced capacity of US forests to offset emissions from other sectors over the projection period.”)</w:t>
      </w:r>
    </w:p>
    <w:p w:rsidR="00A63B99" w:rsidRDefault="0054102F" w:rsidP="00A63B99">
      <w:pPr>
        <w:pStyle w:val="Heading2"/>
      </w:pPr>
      <w:bookmarkStart w:id="40" w:name="_Toc176945816"/>
      <w:bookmarkStart w:id="41" w:name="_Toc176959878"/>
      <w:r>
        <w:t xml:space="preserve">The EA Needs to Consider that </w:t>
      </w:r>
      <w:r w:rsidR="00A63B99" w:rsidRPr="00942D4C">
        <w:rPr>
          <w:i/>
        </w:rPr>
        <w:t>Stabilizing</w:t>
      </w:r>
      <w:r w:rsidR="00A63B99">
        <w:t xml:space="preserve"> Forest Carbon is not a Climate Solution.</w:t>
      </w:r>
      <w:bookmarkEnd w:id="40"/>
      <w:bookmarkEnd w:id="41"/>
    </w:p>
    <w:p w:rsidR="00A63B99" w:rsidRDefault="00A63B99" w:rsidP="00A63B99">
      <w:pPr>
        <w:rPr>
          <w:lang w:val="en-US"/>
        </w:rPr>
      </w:pPr>
      <w:r>
        <w:rPr>
          <w:lang w:val="en-US"/>
        </w:rPr>
        <w:t>The EA assertion that logging is beneficial because it will help avoid “large pulses” of emissions seems to imply that stand-scale carbon stability is a climate solution, but this is not true.</w:t>
      </w:r>
    </w:p>
    <w:p w:rsidR="00A63B99" w:rsidRPr="00432C78" w:rsidRDefault="00A63B99" w:rsidP="00A63B99">
      <w:pPr>
        <w:rPr>
          <w:lang w:val="en-US"/>
        </w:rPr>
      </w:pPr>
    </w:p>
    <w:p w:rsidR="00A63B99" w:rsidRPr="00A63B99" w:rsidRDefault="00A63B99" w:rsidP="00A63B99">
      <w:pPr>
        <w:rPr>
          <w:rFonts w:eastAsia="Times New Roman" w:cs="Times New Roman"/>
          <w:color w:val="222222"/>
          <w:szCs w:val="24"/>
        </w:rPr>
      </w:pPr>
      <w:r w:rsidRPr="00A63B99">
        <w:rPr>
          <w:rFonts w:eastAsia="Times New Roman" w:cs="Times New Roman"/>
          <w:color w:val="222222"/>
          <w:szCs w:val="24"/>
        </w:rPr>
        <w:t xml:space="preserve">"Stabilizing" forest carbon is becoming a buzzword and a new goal for forest management, but it is NOT a climate solution. In order to address the global climate crisis, we need to </w:t>
      </w:r>
      <w:r w:rsidRPr="00A63B99">
        <w:rPr>
          <w:rFonts w:eastAsia="Times New Roman" w:cs="Times New Roman"/>
          <w:i/>
          <w:color w:val="222222"/>
          <w:szCs w:val="24"/>
        </w:rPr>
        <w:t>reduce</w:t>
      </w:r>
      <w:r w:rsidRPr="00A63B99">
        <w:rPr>
          <w:rFonts w:eastAsia="Times New Roman" w:cs="Times New Roman"/>
          <w:color w:val="222222"/>
          <w:szCs w:val="24"/>
        </w:rPr>
        <w:t xml:space="preserve"> atmospheric carbon at the </w:t>
      </w:r>
      <w:r w:rsidRPr="00A63B99">
        <w:rPr>
          <w:rFonts w:eastAsia="Times New Roman" w:cs="Times New Roman"/>
          <w:i/>
          <w:color w:val="222222"/>
          <w:szCs w:val="24"/>
        </w:rPr>
        <w:t>global</w:t>
      </w:r>
      <w:r w:rsidRPr="00A63B99">
        <w:rPr>
          <w:rFonts w:eastAsia="Times New Roman" w:cs="Times New Roman"/>
          <w:color w:val="222222"/>
          <w:szCs w:val="24"/>
        </w:rPr>
        <w:t xml:space="preserve"> scale, not </w:t>
      </w:r>
      <w:r w:rsidRPr="00A63B99">
        <w:rPr>
          <w:rFonts w:eastAsia="Times New Roman" w:cs="Times New Roman"/>
          <w:i/>
          <w:color w:val="222222"/>
          <w:szCs w:val="24"/>
        </w:rPr>
        <w:t>stabilize</w:t>
      </w:r>
      <w:r w:rsidRPr="00A63B99">
        <w:rPr>
          <w:rFonts w:eastAsia="Times New Roman" w:cs="Times New Roman"/>
          <w:color w:val="222222"/>
          <w:szCs w:val="24"/>
        </w:rPr>
        <w:t xml:space="preserve"> forest carbon at the </w:t>
      </w:r>
      <w:r w:rsidRPr="00A63B99">
        <w:rPr>
          <w:rFonts w:eastAsia="Times New Roman" w:cs="Times New Roman"/>
          <w:i/>
          <w:color w:val="222222"/>
          <w:szCs w:val="24"/>
        </w:rPr>
        <w:t>local</w:t>
      </w:r>
      <w:r w:rsidRPr="00A63B99">
        <w:rPr>
          <w:rFonts w:eastAsia="Times New Roman" w:cs="Times New Roman"/>
          <w:color w:val="222222"/>
          <w:szCs w:val="24"/>
        </w:rPr>
        <w:t xml:space="preserve"> scale. This is because Earth’s atmosphere is well-mixed. It does not matter if forest carbon booms and busts at the scale of stands or even landscapes. What matters is the total amount of carbon in the atmosphere, which is the net result of both carbon emissions in some locations, and carbon uptake in the rest of the living landscape that is still growing. From a climate perspective, it might make more sense to let forests grow and accumulate carbon in vegetation and soils (let forest carbon </w:t>
      </w:r>
      <w:r w:rsidRPr="00A63B99">
        <w:rPr>
          <w:rFonts w:eastAsia="Times New Roman" w:cs="Times New Roman"/>
          <w:i/>
          <w:color w:val="222222"/>
          <w:szCs w:val="24"/>
        </w:rPr>
        <w:t>boom</w:t>
      </w:r>
      <w:r w:rsidRPr="00A63B99">
        <w:rPr>
          <w:rFonts w:eastAsia="Times New Roman" w:cs="Times New Roman"/>
          <w:color w:val="222222"/>
          <w:szCs w:val="24"/>
        </w:rPr>
        <w:t xml:space="preserve">), even if it is not considered "sustainable" over the long term because it will eventually burn (the carbon might go </w:t>
      </w:r>
      <w:r w:rsidRPr="00A63B99">
        <w:rPr>
          <w:rFonts w:eastAsia="Times New Roman" w:cs="Times New Roman"/>
          <w:i/>
          <w:color w:val="222222"/>
          <w:szCs w:val="24"/>
        </w:rPr>
        <w:t>bust</w:t>
      </w:r>
      <w:r w:rsidRPr="00A63B99">
        <w:rPr>
          <w:rFonts w:eastAsia="Times New Roman" w:cs="Times New Roman"/>
          <w:color w:val="222222"/>
          <w:szCs w:val="24"/>
        </w:rPr>
        <w:t xml:space="preserve">), because every day/week/month/year that carbon stays in forests and soils is a day/week/month/year with less solar forcing. </w:t>
      </w:r>
    </w:p>
    <w:p w:rsidR="00A63B99" w:rsidRPr="00A63B99" w:rsidRDefault="00A63B99" w:rsidP="00A63B99">
      <w:pPr>
        <w:rPr>
          <w:rFonts w:eastAsia="Times New Roman" w:cs="Times New Roman"/>
          <w:color w:val="222222"/>
          <w:szCs w:val="24"/>
        </w:rPr>
      </w:pPr>
    </w:p>
    <w:p w:rsidR="00A63B99" w:rsidRPr="00A63B99" w:rsidRDefault="00A63B99" w:rsidP="00A63B99">
      <w:pPr>
        <w:rPr>
          <w:rFonts w:eastAsia="Times New Roman" w:cs="Times New Roman"/>
          <w:color w:val="222222"/>
          <w:szCs w:val="24"/>
        </w:rPr>
      </w:pPr>
      <w:r w:rsidRPr="00A63B99">
        <w:rPr>
          <w:rFonts w:eastAsia="Times New Roman" w:cs="Times New Roman"/>
          <w:color w:val="222222"/>
          <w:szCs w:val="24"/>
        </w:rPr>
        <w:t>The goal of stabilizing carbon is especially suspect when the proposed activities required to stabilize carbon themselves emit carbon. The first problem is that emissions come first and alleged carbon benefits from avoided disturbance are delayed. This time lag conflicts with the urgent need to avoid emissions and store carbon in the near term.</w:t>
      </w:r>
    </w:p>
    <w:p w:rsidR="00A63B99" w:rsidRPr="00A63B99" w:rsidRDefault="00A63B99" w:rsidP="00A63B99">
      <w:pPr>
        <w:rPr>
          <w:rFonts w:eastAsia="Times New Roman" w:cs="Times New Roman"/>
          <w:color w:val="222222"/>
          <w:szCs w:val="24"/>
        </w:rPr>
      </w:pPr>
    </w:p>
    <w:p w:rsidR="00A63B99" w:rsidRPr="00A63B99" w:rsidRDefault="00A63B99" w:rsidP="00A63B99">
      <w:pPr>
        <w:rPr>
          <w:rFonts w:eastAsia="Times New Roman" w:cs="Times New Roman"/>
          <w:color w:val="222222"/>
          <w:szCs w:val="24"/>
        </w:rPr>
      </w:pPr>
      <w:r w:rsidRPr="00A63B99">
        <w:rPr>
          <w:rFonts w:eastAsia="Times New Roman" w:cs="Times New Roman"/>
          <w:color w:val="222222"/>
          <w:szCs w:val="24"/>
        </w:rPr>
        <w:t xml:space="preserve">The second problem is that the carbon emissions from efforts to stabilize carbon very likely exceed the carbon “savings” from those stabilizing actions. This is because it is impossible to predict where or when natural destabilizing events such as wildfire might occur. Only a small fraction of deliberate actions taken to stabilize forest carbon will actually interact with natural disturbance events and provide carbon benefits. Most individual efforts to stabilize carbon will cause carbon emissions without any offsetting carbon benefits, so collectively, efforts to stabilize </w:t>
      </w:r>
      <w:r w:rsidRPr="00A63B99">
        <w:rPr>
          <w:rFonts w:eastAsia="Times New Roman" w:cs="Times New Roman"/>
          <w:color w:val="222222"/>
          <w:szCs w:val="24"/>
        </w:rPr>
        <w:lastRenderedPageBreak/>
        <w:t>carbon will emit more carbon than just letting forest carbon accumulate, and eventually boom and bust.</w:t>
      </w:r>
    </w:p>
    <w:p w:rsidR="00A63B99" w:rsidRPr="00A63B99" w:rsidRDefault="00A63B99" w:rsidP="00A63B99">
      <w:pPr>
        <w:rPr>
          <w:rFonts w:eastAsia="Times New Roman" w:cs="Times New Roman"/>
          <w:color w:val="222222"/>
          <w:szCs w:val="24"/>
        </w:rPr>
      </w:pPr>
    </w:p>
    <w:p w:rsidR="00432C78" w:rsidRPr="00A63B99" w:rsidRDefault="00A63B99">
      <w:pPr>
        <w:rPr>
          <w:rFonts w:eastAsia="Times New Roman" w:cs="Times New Roman"/>
          <w:color w:val="222222"/>
          <w:szCs w:val="24"/>
        </w:rPr>
      </w:pPr>
      <w:r w:rsidRPr="00A63B99">
        <w:rPr>
          <w:rFonts w:eastAsia="Times New Roman" w:cs="Times New Roman"/>
          <w:color w:val="222222"/>
          <w:szCs w:val="24"/>
        </w:rPr>
        <w:t xml:space="preserve">Some forests may be storing more carbon than the carbon carrying capacity projected under climate change. Such forests are providing a great climate service to humanity (as well as great benefits to threatened &amp; endangered species that rely on such forests), especially in the short-term, while the global need to reduce GHG emissions is most urgent. </w:t>
      </w:r>
      <w:r w:rsidRPr="00A63B99">
        <w:rPr>
          <w:color w:val="222222"/>
          <w:shd w:val="clear" w:color="auto" w:fill="FFFFFF"/>
        </w:rPr>
        <w:t>There are significant trade-offs related to a</w:t>
      </w:r>
      <w:r w:rsidRPr="00A63B99">
        <w:rPr>
          <w:rFonts w:eastAsia="Times New Roman" w:cs="Times New Roman"/>
          <w:color w:val="222222"/>
          <w:szCs w:val="24"/>
        </w:rPr>
        <w:t>ny proposal to artificially remove medium and large trees from carbon-rich forests in order to help them match their projected carbon carrying capacity. We must carefully consider the cumulative effects of doing so across large areas, because it would cause tremendous additional and unneeded GHG emissions.</w:t>
      </w:r>
    </w:p>
    <w:p w:rsidR="00A63B99" w:rsidRDefault="00A63B99"/>
    <w:p w:rsidR="00966FBF" w:rsidRDefault="00966FBF" w:rsidP="00C13CE6">
      <w:r>
        <w:t>==</w:t>
      </w:r>
    </w:p>
    <w:p w:rsidR="00C13CE6" w:rsidRPr="00C13CE6" w:rsidRDefault="00C13CE6" w:rsidP="00C13CE6">
      <w:r w:rsidRPr="00C13CE6">
        <w:t>Each substantive issue discussed in these comments should be (</w:t>
      </w:r>
      <w:proofErr w:type="spellStart"/>
      <w:r w:rsidRPr="00C13CE6">
        <w:t>i</w:t>
      </w:r>
      <w:proofErr w:type="spellEnd"/>
      <w:r w:rsidRPr="00C13CE6">
        <w:t>) incorporated into the purpose and need for the project, (ii) used to develop NEPA alternatives that balance tradeoffs in different ways, (iii) carefully analyzed and documented as part of the effects analysis, and (iv) considered for mitigation.</w:t>
      </w:r>
    </w:p>
    <w:p w:rsidR="00C13CE6" w:rsidRPr="00C13CE6" w:rsidRDefault="00C13CE6" w:rsidP="00C13CE6"/>
    <w:p w:rsidR="00C13CE6" w:rsidRPr="00C13CE6" w:rsidRDefault="00C13CE6" w:rsidP="00C13CE6">
      <w:r w:rsidRPr="00C13CE6">
        <w:t>Please post to the project website, links to all relevant ESA and EFH consultation documents, RMPs, watershed analyses, and other supporting documents relied on in the NEPA analysis.</w:t>
      </w:r>
    </w:p>
    <w:p w:rsidR="00C13CE6" w:rsidRPr="00C13CE6" w:rsidRDefault="00C13CE6" w:rsidP="00C13CE6"/>
    <w:p w:rsidR="00C13CE6" w:rsidRPr="00C13CE6" w:rsidRDefault="00C13CE6" w:rsidP="00C13CE6">
      <w:r w:rsidRPr="00C13CE6">
        <w:t xml:space="preserve">Please post to the project website before the public comment period, georeferenced maps of the proposed activity units that can be used to navigate in the field using apps such as </w:t>
      </w:r>
      <w:proofErr w:type="spellStart"/>
      <w:r w:rsidRPr="00C13CE6">
        <w:t>Avenza</w:t>
      </w:r>
      <w:proofErr w:type="spellEnd"/>
      <w:r w:rsidRPr="00C13CE6">
        <w:t xml:space="preserve">. </w:t>
      </w:r>
    </w:p>
    <w:p w:rsidR="00C13CE6" w:rsidRPr="00C13CE6" w:rsidRDefault="00C13CE6" w:rsidP="00C13CE6"/>
    <w:p w:rsidR="000C35A9" w:rsidRDefault="00C13CE6" w:rsidP="00C13CE6">
      <w:r w:rsidRPr="00C13CE6">
        <w:t xml:space="preserve">Note: If any of these web links in this document are dead, they may be resurrected using the </w:t>
      </w:r>
      <w:proofErr w:type="spellStart"/>
      <w:r w:rsidRPr="00C13CE6">
        <w:t>Wayback</w:t>
      </w:r>
      <w:proofErr w:type="spellEnd"/>
      <w:r w:rsidRPr="00C13CE6">
        <w:t xml:space="preserve"> Machine at Archive.org. </w:t>
      </w:r>
      <w:hyperlink r:id="rId150" w:history="1">
        <w:r w:rsidRPr="00C13CE6">
          <w:rPr>
            <w:color w:val="0000FF"/>
            <w:u w:val="single"/>
          </w:rPr>
          <w:t>http://wayback.archive.org/web/</w:t>
        </w:r>
      </w:hyperlink>
    </w:p>
    <w:p w:rsidR="000C35A9" w:rsidRDefault="000C35A9" w:rsidP="00C13CE6"/>
    <w:p w:rsidR="00C13CE6" w:rsidRPr="00C13CE6" w:rsidRDefault="00C13CE6" w:rsidP="00C13CE6">
      <w:r w:rsidRPr="00C13CE6">
        <w:t>Sincerely,</w:t>
      </w:r>
    </w:p>
    <w:p w:rsidR="00C13CE6" w:rsidRPr="00C13CE6" w:rsidRDefault="00C13CE6" w:rsidP="00C13CE6">
      <w:r w:rsidRPr="00C13CE6">
        <w:rPr>
          <w:noProof/>
          <w:lang w:val="en-US"/>
        </w:rPr>
        <w:drawing>
          <wp:inline distT="0" distB="0" distL="0" distR="0" wp14:anchorId="31B2C7D4" wp14:editId="32A8E2BD">
            <wp:extent cx="1546860" cy="502920"/>
            <wp:effectExtent l="0" t="0" r="0" b="0"/>
            <wp:docPr id="4" name="Picture 4" descr="Doug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ugSignature"/>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546860" cy="502920"/>
                    </a:xfrm>
                    <a:prstGeom prst="rect">
                      <a:avLst/>
                    </a:prstGeom>
                    <a:noFill/>
                    <a:ln>
                      <a:noFill/>
                    </a:ln>
                  </pic:spPr>
                </pic:pic>
              </a:graphicData>
            </a:graphic>
          </wp:inline>
        </w:drawing>
      </w:r>
    </w:p>
    <w:p w:rsidR="00496A6A" w:rsidRPr="00C13CE6" w:rsidRDefault="00C13CE6" w:rsidP="00C13CE6">
      <w:r w:rsidRPr="00C13CE6">
        <w:t>Doug Heiken</w:t>
      </w:r>
      <w:r w:rsidR="00496A6A">
        <w:t xml:space="preserve"> (he/him)</w:t>
      </w:r>
    </w:p>
    <w:p w:rsidR="00C13CE6" w:rsidRPr="00C13CE6" w:rsidRDefault="009A4A4D" w:rsidP="00C13CE6">
      <w:hyperlink r:id="rId152" w:history="1">
        <w:r w:rsidR="00C13CE6" w:rsidRPr="00C13CE6">
          <w:rPr>
            <w:rStyle w:val="Hyperlink"/>
          </w:rPr>
          <w:t>dh@oregonwild.org</w:t>
        </w:r>
      </w:hyperlink>
      <w:r w:rsidR="00C13CE6" w:rsidRPr="00C13CE6">
        <w:t xml:space="preserve"> </w:t>
      </w:r>
    </w:p>
    <w:p w:rsidR="00CE0F66" w:rsidRPr="00C13CE6" w:rsidRDefault="00CE0F66">
      <w:pPr>
        <w:rPr>
          <w:rFonts w:eastAsia="Georgia" w:cs="Georgia"/>
        </w:rPr>
      </w:pPr>
    </w:p>
    <w:p w:rsidR="00CE0F66" w:rsidRPr="00C13CE6" w:rsidRDefault="00CE0F66">
      <w:pPr>
        <w:rPr>
          <w:rFonts w:eastAsia="Georgia" w:cs="Georgia"/>
        </w:rPr>
      </w:pPr>
    </w:p>
    <w:sectPr w:rsidR="00CE0F66" w:rsidRPr="00C13CE6">
      <w:headerReference w:type="default" r:id="rId153"/>
      <w:footerReference w:type="default" r:id="rId154"/>
      <w:headerReference w:type="first" r:id="rId155"/>
      <w:footerReference w:type="first" r:id="rId156"/>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744EA" w:rsidRDefault="007744EA">
      <w:pPr>
        <w:spacing w:line="240" w:lineRule="auto"/>
      </w:pPr>
      <w:r>
        <w:separator/>
      </w:r>
    </w:p>
  </w:endnote>
  <w:endnote w:type="continuationSeparator" w:id="0">
    <w:p w:rsidR="007744EA" w:rsidRDefault="007744E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BookAntiqua">
    <w:altName w:val="Book Antiqua"/>
    <w:panose1 w:val="00000000000000000000"/>
    <w:charset w:val="00"/>
    <w:family w:val="roman"/>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oz-fixed">
    <w:altName w:val="Times New Roman"/>
    <w:charset w:val="00"/>
    <w:family w:val="roman"/>
    <w:pitch w:val="default"/>
  </w:font>
  <w:font w:name="Courier">
    <w:panose1 w:val="02070409020205020404"/>
    <w:charset w:val="00"/>
    <w:family w:val="modern"/>
    <w:notTrueType/>
    <w:pitch w:val="fixed"/>
    <w:sig w:usb0="00000003" w:usb1="00000000" w:usb2="00000000" w:usb3="00000000" w:csb0="00000001" w:csb1="00000000"/>
  </w:font>
  <w:font w:name="Calibri">
    <w:altName w:val="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Proxima Nova Rg">
    <w:panose1 w:val="02000506030000020004"/>
    <w:charset w:val="00"/>
    <w:family w:val="auto"/>
    <w:pitch w:val="variable"/>
    <w:sig w:usb0="A00002EF" w:usb1="5000E0FB" w:usb2="00000000" w:usb3="00000000" w:csb0="0000019F" w:csb1="00000000"/>
  </w:font>
  <w:font w:name="Proxima Nova Semibold">
    <w:altName w:val="Times New Roman"/>
    <w:panose1 w:val="02000506030000020004"/>
    <w:charset w:val="00"/>
    <w:family w:val="auto"/>
    <w:pitch w:val="default"/>
  </w:font>
  <w:font w:name="Proxima Nova Extrabold">
    <w:altName w:val="Times New Roman"/>
    <w:panose1 w:val="020005060300000200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75865226"/>
      <w:docPartObj>
        <w:docPartGallery w:val="Page Numbers (Bottom of Page)"/>
        <w:docPartUnique/>
      </w:docPartObj>
    </w:sdtPr>
    <w:sdtEndPr>
      <w:rPr>
        <w:noProof/>
      </w:rPr>
    </w:sdtEndPr>
    <w:sdtContent>
      <w:p w:rsidR="00312B6F" w:rsidRPr="00BE0D21" w:rsidRDefault="00312B6F">
        <w:pPr>
          <w:pStyle w:val="Footer"/>
          <w:jc w:val="right"/>
        </w:pPr>
        <w:r w:rsidRPr="00BE0D21">
          <w:fldChar w:fldCharType="begin"/>
        </w:r>
        <w:r w:rsidRPr="00BE0D21">
          <w:instrText xml:space="preserve"> PAGE   \* MERGEFORMAT </w:instrText>
        </w:r>
        <w:r w:rsidRPr="00BE0D21">
          <w:fldChar w:fldCharType="separate"/>
        </w:r>
        <w:r w:rsidR="00B7164A">
          <w:rPr>
            <w:noProof/>
          </w:rPr>
          <w:t>29</w:t>
        </w:r>
        <w:r w:rsidRPr="00BE0D21">
          <w:rPr>
            <w:noProof/>
          </w:rPr>
          <w:fldChar w:fldCharType="end"/>
        </w:r>
      </w:p>
    </w:sdtContent>
  </w:sdt>
  <w:p w:rsidR="00312B6F" w:rsidRDefault="00312B6F" w:rsidP="00BE0D21">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2B6F" w:rsidRDefault="00312B6F" w:rsidP="00BE0D21">
    <w:pPr>
      <w:tabs>
        <w:tab w:val="center" w:pos="4680"/>
      </w:tabs>
    </w:pPr>
    <w:r>
      <w:rPr>
        <w:noProof/>
        <w:lang w:val="en-US"/>
      </w:rPr>
      <mc:AlternateContent>
        <mc:Choice Requires="wps">
          <w:drawing>
            <wp:anchor distT="114300" distB="114300" distL="114300" distR="114300" simplePos="0" relativeHeight="251660288" behindDoc="0" locked="0" layoutInCell="1" hidden="0" allowOverlap="1">
              <wp:simplePos x="0" y="0"/>
              <wp:positionH relativeFrom="column">
                <wp:posOffset>-914399</wp:posOffset>
              </wp:positionH>
              <wp:positionV relativeFrom="paragraph">
                <wp:posOffset>390525</wp:posOffset>
              </wp:positionV>
              <wp:extent cx="7772400" cy="258175"/>
              <wp:effectExtent l="0" t="0" r="0" b="0"/>
              <wp:wrapNone/>
              <wp:docPr id="1" name="Rectangle 1"/>
              <wp:cNvGraphicFramePr/>
              <a:graphic xmlns:a="http://schemas.openxmlformats.org/drawingml/2006/main">
                <a:graphicData uri="http://schemas.microsoft.com/office/word/2010/wordprocessingShape">
                  <wps:wsp>
                    <wps:cNvSpPr/>
                    <wps:spPr>
                      <a:xfrm>
                        <a:off x="1224000" y="825950"/>
                        <a:ext cx="8955900" cy="298500"/>
                      </a:xfrm>
                      <a:prstGeom prst="rect">
                        <a:avLst/>
                      </a:prstGeom>
                      <a:solidFill>
                        <a:srgbClr val="067886"/>
                      </a:solidFill>
                      <a:ln>
                        <a:noFill/>
                      </a:ln>
                    </wps:spPr>
                    <wps:txbx>
                      <w:txbxContent>
                        <w:p w:rsidR="00312B6F" w:rsidRDefault="00312B6F">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id="Rectangle 1" o:spid="_x0000_s1026" style="position:absolute;margin-left:-1in;margin-top:30.75pt;width:612pt;height:20.35pt;z-index:251660288;visibility:visible;mso-wrap-style:square;mso-wrap-distance-left:9pt;mso-wrap-distance-top:9pt;mso-wrap-distance-right:9pt;mso-wrap-distance-bottom:9pt;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" fillcolor="#067886" stroked="f">
              <v:textbox inset="2.53958mm,2.53958mm,2.53958mm,2.53958mm">
                <w:txbxContent>
                  <w:p w:rsidR="00312B6F" w:rsidRDefault="00312B6F">
                    <w:pPr>
                      <w:spacing w:line="240" w:lineRule="auto"/>
                      <w:jc w:val="center"/>
                      <w:textDirection w:val="btLr"/>
                    </w:pPr>
                  </w:p>
                </w:txbxContent>
              </v:textbox>
            </v:rect>
          </w:pict>
        </mc:Fallback>
      </mc:AlternateContent>
    </w: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744EA" w:rsidRDefault="007744EA">
      <w:pPr>
        <w:spacing w:line="240" w:lineRule="auto"/>
      </w:pPr>
      <w:r>
        <w:separator/>
      </w:r>
    </w:p>
  </w:footnote>
  <w:footnote w:type="continuationSeparator" w:id="0">
    <w:p w:rsidR="007744EA" w:rsidRDefault="007744EA">
      <w:pPr>
        <w:spacing w:line="240" w:lineRule="auto"/>
      </w:pPr>
      <w:r>
        <w:continuationSeparator/>
      </w:r>
    </w:p>
  </w:footnote>
  <w:footnote w:id="1">
    <w:p w:rsidR="00312B6F" w:rsidRPr="007368D0" w:rsidRDefault="00312B6F" w:rsidP="000A4F27">
      <w:pPr>
        <w:pStyle w:val="FootnoteText"/>
      </w:pPr>
      <w:r w:rsidRPr="007368D0">
        <w:rPr>
          <w:rStyle w:val="FootnoteCharacters"/>
        </w:rPr>
        <w:footnoteRef/>
      </w:r>
      <w:r w:rsidRPr="007368D0">
        <w:tab/>
        <w:t xml:space="preserve"> In young Douglas-fir stands “</w:t>
      </w:r>
      <w:r w:rsidRPr="007368D0">
        <w:rPr>
          <w:color w:val="000000"/>
        </w:rPr>
        <w:t xml:space="preserve">canopy structure did not differ dramatically between thinned and unthinned stands. … There were no evident trends between understory cover and thinning history; both shrub and forb cover were fairly similar among the three thinning intensities [including the unthinned control stands]. The difference in mean shade-tolerant canopy cover was not significantly lower in LT [light thin] and HT [heavy thin] than in ND [undisturbed] stands … We expected greater cover of understory vegetation in thinned than in unthinned stands but did not detect significant differences in this analysis.” McIntosh, Anne C.S.; Gray, Andrew N.; Garman, Steven L. 2009. Canopy structure on forest lands in western Oregon: differences among forest types and stand ages. Gen. Tech. Rep. PNW-GTR-794. Portland, OR: U.S. Department of Agriculture, Forest Service, Pacific Northwest Research Station. 35 p. </w:t>
      </w:r>
      <w:hyperlink r:id="rId1" w:history="1">
        <w:r w:rsidRPr="007368D0">
          <w:rPr>
            <w:rStyle w:val="Hyperlink"/>
          </w:rPr>
          <w:t>http://www.fs.fed.us/pnw/pubs/pnw_gtr794.pdf</w:t>
        </w:r>
      </w:hyperlink>
      <w:r w:rsidRPr="007368D0">
        <w:rPr>
          <w:color w:val="000000"/>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2B6F" w:rsidRDefault="00312B6F">
    <w:pPr>
      <w:ind w:right="-63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2B6F" w:rsidRPr="00D44BA7" w:rsidRDefault="00312B6F">
    <w:pPr>
      <w:ind w:right="-630"/>
      <w:jc w:val="right"/>
      <w:rPr>
        <w:rFonts w:ascii="Proxima Nova Rg" w:eastAsia="Proxima Nova Semibold" w:hAnsi="Proxima Nova Rg"/>
        <w:color w:val="231F20"/>
      </w:rPr>
    </w:pPr>
    <w:r w:rsidRPr="00D44BA7">
      <w:rPr>
        <w:rFonts w:ascii="Proxima Nova Rg" w:hAnsi="Proxima Nova Rg"/>
        <w:noProof/>
        <w:lang w:val="en-US"/>
      </w:rPr>
      <w:drawing>
        <wp:anchor distT="114300" distB="114300" distL="114300" distR="114300" simplePos="0" relativeHeight="251658240" behindDoc="0" locked="0" layoutInCell="1" hidden="0" allowOverlap="1">
          <wp:simplePos x="0" y="0"/>
          <wp:positionH relativeFrom="column">
            <wp:posOffset>-504824</wp:posOffset>
          </wp:positionH>
          <wp:positionV relativeFrom="paragraph">
            <wp:posOffset>-200024</wp:posOffset>
          </wp:positionV>
          <wp:extent cx="1031624" cy="1357313"/>
          <wp:effectExtent l="0" t="0" r="0" b="0"/>
          <wp:wrapSquare wrapText="bothSides" distT="114300" distB="114300" distL="114300" distR="11430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31624" cy="1357313"/>
                  </a:xfrm>
                  <a:prstGeom prst="rect">
                    <a:avLst/>
                  </a:prstGeom>
                  <a:ln/>
                </pic:spPr>
              </pic:pic>
            </a:graphicData>
          </a:graphic>
        </wp:anchor>
      </w:drawing>
    </w:r>
    <w:r w:rsidRPr="00D44BA7">
      <w:rPr>
        <w:rFonts w:ascii="Proxima Nova Rg" w:eastAsia="Proxima Nova Semibold" w:hAnsi="Proxima Nova Rg"/>
        <w:color w:val="231F20"/>
      </w:rPr>
      <w:t>PO Box 11648</w:t>
    </w:r>
  </w:p>
  <w:p w:rsidR="00312B6F" w:rsidRPr="00D44BA7" w:rsidRDefault="00312B6F">
    <w:pPr>
      <w:ind w:right="-630"/>
      <w:jc w:val="right"/>
      <w:rPr>
        <w:rFonts w:ascii="Proxima Nova Rg" w:eastAsia="Proxima Nova Semibold" w:hAnsi="Proxima Nova Rg"/>
        <w:color w:val="231F20"/>
      </w:rPr>
    </w:pPr>
    <w:r w:rsidRPr="00D44BA7">
      <w:rPr>
        <w:rFonts w:ascii="Proxima Nova Rg" w:eastAsia="Proxima Nova Semibold" w:hAnsi="Proxima Nova Rg"/>
        <w:color w:val="231F20"/>
      </w:rPr>
      <w:t>Eugene, OR 97440</w:t>
    </w:r>
  </w:p>
  <w:p w:rsidR="00312B6F" w:rsidRPr="00D44BA7" w:rsidRDefault="00312B6F">
    <w:pPr>
      <w:ind w:right="-630"/>
      <w:jc w:val="right"/>
      <w:rPr>
        <w:rFonts w:ascii="Proxima Nova Rg" w:eastAsia="Proxima Nova Semibold" w:hAnsi="Proxima Nova Rg"/>
        <w:color w:val="231F20"/>
      </w:rPr>
    </w:pPr>
    <w:r w:rsidRPr="00D44BA7">
      <w:rPr>
        <w:rFonts w:ascii="Proxima Nova Rg" w:eastAsia="Proxima Nova Semibold" w:hAnsi="Proxima Nova Rg"/>
        <w:color w:val="231F20"/>
      </w:rPr>
      <w:t>(541) 344-0675</w:t>
    </w:r>
  </w:p>
  <w:p w:rsidR="00312B6F" w:rsidRPr="00D44BA7" w:rsidRDefault="00312B6F">
    <w:pPr>
      <w:ind w:right="-630"/>
      <w:jc w:val="right"/>
      <w:rPr>
        <w:rFonts w:ascii="Proxima Nova Rg" w:eastAsia="Proxima Nova Extrabold" w:hAnsi="Proxima Nova Rg"/>
        <w:color w:val="067886"/>
      </w:rPr>
    </w:pPr>
    <w:r w:rsidRPr="00D44BA7">
      <w:rPr>
        <w:rFonts w:ascii="Proxima Nova Rg" w:eastAsia="Proxima Nova Extrabold" w:hAnsi="Proxima Nova Rg"/>
        <w:color w:val="067886"/>
      </w:rPr>
      <w:t>WWW.OREGONWILD.ORG</w:t>
    </w:r>
  </w:p>
  <w:p w:rsidR="00312B6F" w:rsidRPr="006C59F8" w:rsidRDefault="00312B6F">
    <w:pPr>
      <w:ind w:right="-630"/>
      <w:jc w:val="right"/>
      <w:rPr>
        <w:rFonts w:eastAsia="Proxima Nova Semibold"/>
        <w:color w:val="141413"/>
      </w:rPr>
    </w:pPr>
    <w:r w:rsidRPr="00D44BA7">
      <w:rPr>
        <w:rFonts w:ascii="Proxima Nova Rg" w:eastAsia="Proxima Nova Semibold" w:hAnsi="Proxima Nova Rg"/>
        <w:color w:val="E47325"/>
      </w:rPr>
      <w:t>Portland     Eugene     Bend     Enterprise</w:t>
    </w:r>
  </w:p>
  <w:p w:rsidR="00312B6F" w:rsidRDefault="00312B6F"/>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36"/>
    <w:multiLevelType w:val="singleLevel"/>
    <w:tmpl w:val="28B897CC"/>
    <w:name w:val="WW8Num9822"/>
    <w:lvl w:ilvl="0">
      <w:start w:val="1"/>
      <w:numFmt w:val="bullet"/>
      <w:lvlText w:val=""/>
      <w:lvlJc w:val="left"/>
      <w:pPr>
        <w:ind w:left="720" w:hanging="360"/>
      </w:pPr>
      <w:rPr>
        <w:rFonts w:ascii="Symbol" w:hAnsi="Symbol" w:cs="BookAntiqua" w:hint="default"/>
        <w:color w:val="auto"/>
        <w:szCs w:val="24"/>
      </w:rPr>
    </w:lvl>
  </w:abstractNum>
  <w:abstractNum w:abstractNumId="1" w15:restartNumberingAfterBreak="0">
    <w:nsid w:val="00486D04"/>
    <w:multiLevelType w:val="hybridMultilevel"/>
    <w:tmpl w:val="F8BE4C94"/>
    <w:lvl w:ilvl="0" w:tplc="16E4A372">
      <w:start w:val="1"/>
      <w:numFmt w:val="bullet"/>
      <w:lvlText w:val="•"/>
      <w:lvlJc w:val="left"/>
      <w:pPr>
        <w:tabs>
          <w:tab w:val="num" w:pos="720"/>
        </w:tabs>
        <w:ind w:left="720" w:hanging="360"/>
      </w:pPr>
      <w:rPr>
        <w:rFonts w:ascii="Times New Roman" w:hAnsi="Times New Roman" w:hint="default"/>
      </w:rPr>
    </w:lvl>
    <w:lvl w:ilvl="1" w:tplc="E7428AC2" w:tentative="1">
      <w:start w:val="1"/>
      <w:numFmt w:val="bullet"/>
      <w:lvlText w:val="•"/>
      <w:lvlJc w:val="left"/>
      <w:pPr>
        <w:tabs>
          <w:tab w:val="num" w:pos="1440"/>
        </w:tabs>
        <w:ind w:left="1440" w:hanging="360"/>
      </w:pPr>
      <w:rPr>
        <w:rFonts w:ascii="Times New Roman" w:hAnsi="Times New Roman" w:hint="default"/>
      </w:rPr>
    </w:lvl>
    <w:lvl w:ilvl="2" w:tplc="D5AA9CC0" w:tentative="1">
      <w:start w:val="1"/>
      <w:numFmt w:val="bullet"/>
      <w:lvlText w:val="•"/>
      <w:lvlJc w:val="left"/>
      <w:pPr>
        <w:tabs>
          <w:tab w:val="num" w:pos="2160"/>
        </w:tabs>
        <w:ind w:left="2160" w:hanging="360"/>
      </w:pPr>
      <w:rPr>
        <w:rFonts w:ascii="Times New Roman" w:hAnsi="Times New Roman" w:hint="default"/>
      </w:rPr>
    </w:lvl>
    <w:lvl w:ilvl="3" w:tplc="079AF4AC" w:tentative="1">
      <w:start w:val="1"/>
      <w:numFmt w:val="bullet"/>
      <w:lvlText w:val="•"/>
      <w:lvlJc w:val="left"/>
      <w:pPr>
        <w:tabs>
          <w:tab w:val="num" w:pos="2880"/>
        </w:tabs>
        <w:ind w:left="2880" w:hanging="360"/>
      </w:pPr>
      <w:rPr>
        <w:rFonts w:ascii="Times New Roman" w:hAnsi="Times New Roman" w:hint="default"/>
      </w:rPr>
    </w:lvl>
    <w:lvl w:ilvl="4" w:tplc="1B8C0AEA" w:tentative="1">
      <w:start w:val="1"/>
      <w:numFmt w:val="bullet"/>
      <w:lvlText w:val="•"/>
      <w:lvlJc w:val="left"/>
      <w:pPr>
        <w:tabs>
          <w:tab w:val="num" w:pos="3600"/>
        </w:tabs>
        <w:ind w:left="3600" w:hanging="360"/>
      </w:pPr>
      <w:rPr>
        <w:rFonts w:ascii="Times New Roman" w:hAnsi="Times New Roman" w:hint="default"/>
      </w:rPr>
    </w:lvl>
    <w:lvl w:ilvl="5" w:tplc="F6A484BA" w:tentative="1">
      <w:start w:val="1"/>
      <w:numFmt w:val="bullet"/>
      <w:lvlText w:val="•"/>
      <w:lvlJc w:val="left"/>
      <w:pPr>
        <w:tabs>
          <w:tab w:val="num" w:pos="4320"/>
        </w:tabs>
        <w:ind w:left="4320" w:hanging="360"/>
      </w:pPr>
      <w:rPr>
        <w:rFonts w:ascii="Times New Roman" w:hAnsi="Times New Roman" w:hint="default"/>
      </w:rPr>
    </w:lvl>
    <w:lvl w:ilvl="6" w:tplc="7A800114" w:tentative="1">
      <w:start w:val="1"/>
      <w:numFmt w:val="bullet"/>
      <w:lvlText w:val="•"/>
      <w:lvlJc w:val="left"/>
      <w:pPr>
        <w:tabs>
          <w:tab w:val="num" w:pos="5040"/>
        </w:tabs>
        <w:ind w:left="5040" w:hanging="360"/>
      </w:pPr>
      <w:rPr>
        <w:rFonts w:ascii="Times New Roman" w:hAnsi="Times New Roman" w:hint="default"/>
      </w:rPr>
    </w:lvl>
    <w:lvl w:ilvl="7" w:tplc="9B0A5B60" w:tentative="1">
      <w:start w:val="1"/>
      <w:numFmt w:val="bullet"/>
      <w:lvlText w:val="•"/>
      <w:lvlJc w:val="left"/>
      <w:pPr>
        <w:tabs>
          <w:tab w:val="num" w:pos="5760"/>
        </w:tabs>
        <w:ind w:left="5760" w:hanging="360"/>
      </w:pPr>
      <w:rPr>
        <w:rFonts w:ascii="Times New Roman" w:hAnsi="Times New Roman" w:hint="default"/>
      </w:rPr>
    </w:lvl>
    <w:lvl w:ilvl="8" w:tplc="D2DAB3D8"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076728CC"/>
    <w:multiLevelType w:val="hybridMultilevel"/>
    <w:tmpl w:val="CAC6B06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14246EDE"/>
    <w:multiLevelType w:val="hybridMultilevel"/>
    <w:tmpl w:val="0546A9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A56A4B"/>
    <w:multiLevelType w:val="hybridMultilevel"/>
    <w:tmpl w:val="022C95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EE2BBE"/>
    <w:multiLevelType w:val="multilevel"/>
    <w:tmpl w:val="AA065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41A2738"/>
    <w:multiLevelType w:val="hybridMultilevel"/>
    <w:tmpl w:val="A9F00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087F78"/>
    <w:multiLevelType w:val="hybridMultilevel"/>
    <w:tmpl w:val="02EA2F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E384A4F"/>
    <w:multiLevelType w:val="hybridMultilevel"/>
    <w:tmpl w:val="EA544B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555681"/>
    <w:multiLevelType w:val="hybridMultilevel"/>
    <w:tmpl w:val="C8D2AA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8B54AF"/>
    <w:multiLevelType w:val="hybridMultilevel"/>
    <w:tmpl w:val="CF92C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CB81EE8"/>
    <w:multiLevelType w:val="hybridMultilevel"/>
    <w:tmpl w:val="E2BC087A"/>
    <w:name w:val="WW8Num23222222222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EE93516"/>
    <w:multiLevelType w:val="hybridMultilevel"/>
    <w:tmpl w:val="76D40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0"/>
  </w:num>
  <w:num w:numId="3">
    <w:abstractNumId w:val="8"/>
  </w:num>
  <w:num w:numId="4">
    <w:abstractNumId w:val="7"/>
  </w:num>
  <w:num w:numId="5">
    <w:abstractNumId w:val="4"/>
  </w:num>
  <w:num w:numId="6">
    <w:abstractNumId w:val="12"/>
  </w:num>
  <w:num w:numId="7">
    <w:abstractNumId w:val="0"/>
  </w:num>
  <w:num w:numId="8">
    <w:abstractNumId w:val="9"/>
  </w:num>
  <w:num w:numId="9">
    <w:abstractNumId w:val="1"/>
  </w:num>
  <w:num w:numId="10">
    <w:abstractNumId w:val="6"/>
  </w:num>
  <w:num w:numId="11">
    <w:abstractNumId w:val="2"/>
  </w:num>
  <w:num w:numId="12">
    <w:abstractNumId w:val="5"/>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9F8"/>
    <w:rsid w:val="00084E35"/>
    <w:rsid w:val="000A4F27"/>
    <w:rsid w:val="000C35A9"/>
    <w:rsid w:val="000C6F99"/>
    <w:rsid w:val="0014205E"/>
    <w:rsid w:val="001458B4"/>
    <w:rsid w:val="001F29C6"/>
    <w:rsid w:val="002C56B9"/>
    <w:rsid w:val="002F1A90"/>
    <w:rsid w:val="00312B6F"/>
    <w:rsid w:val="003351D3"/>
    <w:rsid w:val="00337210"/>
    <w:rsid w:val="00432C78"/>
    <w:rsid w:val="00465AB0"/>
    <w:rsid w:val="00481E9B"/>
    <w:rsid w:val="00496A6A"/>
    <w:rsid w:val="00497A77"/>
    <w:rsid w:val="004D63D8"/>
    <w:rsid w:val="004E6184"/>
    <w:rsid w:val="0054102F"/>
    <w:rsid w:val="0058151A"/>
    <w:rsid w:val="005A129E"/>
    <w:rsid w:val="005A6160"/>
    <w:rsid w:val="005B1247"/>
    <w:rsid w:val="005B3582"/>
    <w:rsid w:val="00606E34"/>
    <w:rsid w:val="0060758F"/>
    <w:rsid w:val="006741A8"/>
    <w:rsid w:val="006B1710"/>
    <w:rsid w:val="006C59F8"/>
    <w:rsid w:val="006D49C6"/>
    <w:rsid w:val="007014E5"/>
    <w:rsid w:val="007744EA"/>
    <w:rsid w:val="00863DCD"/>
    <w:rsid w:val="008742CC"/>
    <w:rsid w:val="008A5700"/>
    <w:rsid w:val="00966FBF"/>
    <w:rsid w:val="00971FBE"/>
    <w:rsid w:val="009866CB"/>
    <w:rsid w:val="009A4A4D"/>
    <w:rsid w:val="00A2626A"/>
    <w:rsid w:val="00A27114"/>
    <w:rsid w:val="00A45E15"/>
    <w:rsid w:val="00A63B99"/>
    <w:rsid w:val="00A86085"/>
    <w:rsid w:val="00AA4B67"/>
    <w:rsid w:val="00AB1A25"/>
    <w:rsid w:val="00AC5BE9"/>
    <w:rsid w:val="00B342BD"/>
    <w:rsid w:val="00B63E33"/>
    <w:rsid w:val="00B7164A"/>
    <w:rsid w:val="00BB3481"/>
    <w:rsid w:val="00BC6260"/>
    <w:rsid w:val="00BE0853"/>
    <w:rsid w:val="00BE0D21"/>
    <w:rsid w:val="00C067B3"/>
    <w:rsid w:val="00C13CE6"/>
    <w:rsid w:val="00C20AC3"/>
    <w:rsid w:val="00C65050"/>
    <w:rsid w:val="00C67380"/>
    <w:rsid w:val="00CA315B"/>
    <w:rsid w:val="00CE0F66"/>
    <w:rsid w:val="00CF2887"/>
    <w:rsid w:val="00D44A68"/>
    <w:rsid w:val="00D44BA7"/>
    <w:rsid w:val="00D5687C"/>
    <w:rsid w:val="00D76796"/>
    <w:rsid w:val="00E17113"/>
    <w:rsid w:val="00E211B8"/>
    <w:rsid w:val="00E34B68"/>
    <w:rsid w:val="00E5659E"/>
    <w:rsid w:val="00EE687D"/>
    <w:rsid w:val="00F205A4"/>
    <w:rsid w:val="00F7068F"/>
    <w:rsid w:val="00F74EB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A1F093"/>
  <w15:docId w15:val="{9839FA8D-543F-4B7F-9C4B-94D665ECF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8A5700"/>
    <w:rPr>
      <w:rFonts w:ascii="Georgia" w:hAnsi="Georgia"/>
    </w:rPr>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rsid w:val="00AB1A25"/>
    <w:pPr>
      <w:keepNext/>
      <w:keepLines/>
      <w:spacing w:before="360" w:after="120"/>
      <w:outlineLvl w:val="1"/>
    </w:pPr>
    <w:rPr>
      <w:rFonts w:ascii="Arial" w:hAnsi="Arial"/>
      <w:b/>
      <w:sz w:val="28"/>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paragraph" w:styleId="Header">
    <w:name w:val="header"/>
    <w:basedOn w:val="Normal"/>
    <w:link w:val="HeaderChar"/>
    <w:uiPriority w:val="99"/>
    <w:unhideWhenUsed/>
    <w:rsid w:val="00CE0F66"/>
    <w:pPr>
      <w:tabs>
        <w:tab w:val="center" w:pos="4680"/>
        <w:tab w:val="right" w:pos="9360"/>
      </w:tabs>
      <w:spacing w:line="240" w:lineRule="auto"/>
    </w:pPr>
  </w:style>
  <w:style w:type="character" w:customStyle="1" w:styleId="HeaderChar">
    <w:name w:val="Header Char"/>
    <w:basedOn w:val="DefaultParagraphFont"/>
    <w:link w:val="Header"/>
    <w:uiPriority w:val="99"/>
    <w:rsid w:val="00CE0F66"/>
  </w:style>
  <w:style w:type="paragraph" w:styleId="Footer">
    <w:name w:val="footer"/>
    <w:basedOn w:val="Normal"/>
    <w:link w:val="FooterChar"/>
    <w:uiPriority w:val="99"/>
    <w:unhideWhenUsed/>
    <w:rsid w:val="00CE0F66"/>
    <w:pPr>
      <w:tabs>
        <w:tab w:val="center" w:pos="4680"/>
        <w:tab w:val="right" w:pos="9360"/>
      </w:tabs>
      <w:spacing w:line="240" w:lineRule="auto"/>
    </w:pPr>
  </w:style>
  <w:style w:type="character" w:customStyle="1" w:styleId="FooterChar">
    <w:name w:val="Footer Char"/>
    <w:basedOn w:val="DefaultParagraphFont"/>
    <w:link w:val="Footer"/>
    <w:uiPriority w:val="99"/>
    <w:rsid w:val="00CE0F66"/>
  </w:style>
  <w:style w:type="character" w:styleId="Hyperlink">
    <w:name w:val="Hyperlink"/>
    <w:basedOn w:val="DefaultParagraphFont"/>
    <w:uiPriority w:val="99"/>
    <w:unhideWhenUsed/>
    <w:rsid w:val="00C13CE6"/>
    <w:rPr>
      <w:color w:val="0000FF" w:themeColor="hyperlink"/>
      <w:u w:val="single"/>
    </w:rPr>
  </w:style>
  <w:style w:type="paragraph" w:styleId="ListParagraph">
    <w:name w:val="List Paragraph"/>
    <w:basedOn w:val="Normal"/>
    <w:uiPriority w:val="34"/>
    <w:qFormat/>
    <w:rsid w:val="000C6F99"/>
    <w:pPr>
      <w:ind w:left="720"/>
      <w:contextualSpacing/>
    </w:pPr>
    <w:rPr>
      <w:rFonts w:ascii="Times New Roman" w:eastAsiaTheme="minorHAnsi" w:hAnsi="Times New Roman" w:cs="Times New Roman"/>
      <w:sz w:val="24"/>
      <w:szCs w:val="24"/>
      <w:lang w:val="en-US"/>
    </w:rPr>
  </w:style>
  <w:style w:type="paragraph" w:styleId="BodyTextIndent">
    <w:name w:val="Body Text Indent"/>
    <w:basedOn w:val="Normal"/>
    <w:link w:val="BodyTextIndentChar"/>
    <w:rsid w:val="00A45E15"/>
    <w:pPr>
      <w:suppressAutoHyphens/>
      <w:spacing w:line="240" w:lineRule="auto"/>
      <w:ind w:left="720"/>
    </w:pPr>
    <w:rPr>
      <w:rFonts w:ascii="-moz-fixed" w:eastAsia="-moz-fixed" w:hAnsi="-moz-fixed" w:cs="-moz-fixed"/>
      <w:sz w:val="24"/>
      <w:szCs w:val="20"/>
      <w:lang w:val="en-US" w:eastAsia="ar-SA"/>
    </w:rPr>
  </w:style>
  <w:style w:type="character" w:customStyle="1" w:styleId="BodyTextIndentChar">
    <w:name w:val="Body Text Indent Char"/>
    <w:basedOn w:val="DefaultParagraphFont"/>
    <w:link w:val="BodyTextIndent"/>
    <w:rsid w:val="00A45E15"/>
    <w:rPr>
      <w:rFonts w:ascii="-moz-fixed" w:eastAsia="-moz-fixed" w:hAnsi="-moz-fixed" w:cs="-moz-fixed"/>
      <w:sz w:val="24"/>
      <w:szCs w:val="20"/>
      <w:lang w:val="en-US" w:eastAsia="ar-SA"/>
    </w:rPr>
  </w:style>
  <w:style w:type="paragraph" w:styleId="BodyText">
    <w:name w:val="Body Text"/>
    <w:basedOn w:val="Normal"/>
    <w:link w:val="BodyTextChar"/>
    <w:uiPriority w:val="99"/>
    <w:semiHidden/>
    <w:unhideWhenUsed/>
    <w:rsid w:val="00AB1A25"/>
    <w:pPr>
      <w:spacing w:after="120"/>
    </w:pPr>
    <w:rPr>
      <w:rFonts w:eastAsiaTheme="minorHAnsi" w:cs="Times New Roman"/>
      <w:szCs w:val="24"/>
      <w:lang w:val="en-US"/>
    </w:rPr>
  </w:style>
  <w:style w:type="character" w:customStyle="1" w:styleId="BodyTextChar">
    <w:name w:val="Body Text Char"/>
    <w:basedOn w:val="DefaultParagraphFont"/>
    <w:link w:val="BodyText"/>
    <w:uiPriority w:val="99"/>
    <w:semiHidden/>
    <w:rsid w:val="00AB1A25"/>
    <w:rPr>
      <w:rFonts w:ascii="Georgia" w:eastAsiaTheme="minorHAnsi" w:hAnsi="Georgia" w:cs="Times New Roman"/>
      <w:szCs w:val="24"/>
      <w:lang w:val="en-US"/>
    </w:rPr>
  </w:style>
  <w:style w:type="paragraph" w:customStyle="1" w:styleId="contentpagetext">
    <w:name w:val="contentpagetext"/>
    <w:basedOn w:val="Normal"/>
    <w:rsid w:val="00A45E15"/>
    <w:pPr>
      <w:suppressAutoHyphens/>
      <w:spacing w:before="100" w:after="100" w:line="240" w:lineRule="auto"/>
    </w:pPr>
    <w:rPr>
      <w:rFonts w:ascii="-moz-fixed" w:eastAsia="-moz-fixed" w:hAnsi="-moz-fixed" w:cs="-moz-fixed"/>
      <w:sz w:val="24"/>
      <w:szCs w:val="24"/>
      <w:lang w:val="en-US" w:eastAsia="ar-SA"/>
    </w:rPr>
  </w:style>
  <w:style w:type="paragraph" w:customStyle="1" w:styleId="m-3792761644885117786m-1864121036372792218xydpfd80f7e7msonormal">
    <w:name w:val="m_-3792761644885117786m_-1864121036372792218x_ydpfd80f7e7msonormal"/>
    <w:basedOn w:val="Normal"/>
    <w:rsid w:val="00A45E15"/>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m-3792761644885117786m-1864121036372792218xydpfd80f7e7msocommentreference">
    <w:name w:val="m_-3792761644885117786m_-1864121036372792218x_ydpfd80f7e7msocommentreference"/>
    <w:rsid w:val="00A45E15"/>
  </w:style>
  <w:style w:type="character" w:customStyle="1" w:styleId="FootnoteCharacters">
    <w:name w:val="Footnote Characters"/>
    <w:rsid w:val="000A4F27"/>
    <w:rPr>
      <w:vertAlign w:val="superscript"/>
    </w:rPr>
  </w:style>
  <w:style w:type="paragraph" w:styleId="NormalWeb">
    <w:name w:val="Normal (Web)"/>
    <w:basedOn w:val="Normal"/>
    <w:uiPriority w:val="99"/>
    <w:rsid w:val="000A4F27"/>
    <w:pPr>
      <w:suppressAutoHyphens/>
      <w:spacing w:before="100" w:after="100" w:line="240" w:lineRule="auto"/>
    </w:pPr>
    <w:rPr>
      <w:rFonts w:ascii="-moz-fixed" w:eastAsia="-moz-fixed" w:hAnsi="-moz-fixed" w:cs="-moz-fixed"/>
      <w:sz w:val="24"/>
      <w:szCs w:val="24"/>
      <w:lang w:val="en-US" w:eastAsia="ar-SA"/>
    </w:rPr>
  </w:style>
  <w:style w:type="paragraph" w:styleId="FootnoteText">
    <w:name w:val="footnote text"/>
    <w:aliases w:val="Footnote ak,Footnote Text Char Char Char Char,FA,FA Fußnotentext,Footnote Text Char Char,Footnote Text Char Char Char Char Char Char,Footnote Text Char Char Char,Footnote Text Char4,Footnote Text Char1 Char,Char,Footnote Text Char2,FA1,FA2"/>
    <w:basedOn w:val="Normal"/>
    <w:link w:val="FootnoteTextChar"/>
    <w:rsid w:val="000A4F27"/>
    <w:pPr>
      <w:suppressAutoHyphens/>
      <w:spacing w:line="240" w:lineRule="auto"/>
    </w:pPr>
    <w:rPr>
      <w:rFonts w:ascii="-moz-fixed" w:eastAsia="-moz-fixed" w:hAnsi="-moz-fixed" w:cs="Courier"/>
      <w:sz w:val="20"/>
      <w:szCs w:val="20"/>
      <w:lang w:val="en-US" w:eastAsia="ar-SA"/>
    </w:rPr>
  </w:style>
  <w:style w:type="character" w:customStyle="1" w:styleId="FootnoteTextChar">
    <w:name w:val="Footnote Text Char"/>
    <w:aliases w:val="Footnote ak Char,Footnote Text Char Char Char Char Char,FA Char,FA Fußnotentext Char,Footnote Text Char Char Char1,Footnote Text Char Char Char Char Char Char Char,Footnote Text Char Char Char Char1,Footnote Text Char4 Char,Char Char"/>
    <w:basedOn w:val="DefaultParagraphFont"/>
    <w:link w:val="FootnoteText"/>
    <w:rsid w:val="000A4F27"/>
    <w:rPr>
      <w:rFonts w:ascii="-moz-fixed" w:eastAsia="-moz-fixed" w:hAnsi="-moz-fixed" w:cs="Courier"/>
      <w:sz w:val="20"/>
      <w:szCs w:val="20"/>
      <w:lang w:val="en-US" w:eastAsia="ar-SA"/>
    </w:rPr>
  </w:style>
  <w:style w:type="paragraph" w:styleId="BodyTextIndent2">
    <w:name w:val="Body Text Indent 2"/>
    <w:basedOn w:val="Normal"/>
    <w:link w:val="BodyTextIndent2Char"/>
    <w:uiPriority w:val="99"/>
    <w:semiHidden/>
    <w:unhideWhenUsed/>
    <w:rsid w:val="00F74EBF"/>
    <w:pPr>
      <w:spacing w:after="120" w:line="480" w:lineRule="auto"/>
      <w:ind w:left="360"/>
    </w:pPr>
  </w:style>
  <w:style w:type="character" w:customStyle="1" w:styleId="BodyTextIndent2Char">
    <w:name w:val="Body Text Indent 2 Char"/>
    <w:basedOn w:val="DefaultParagraphFont"/>
    <w:link w:val="BodyTextIndent2"/>
    <w:uiPriority w:val="99"/>
    <w:semiHidden/>
    <w:rsid w:val="00F74EBF"/>
    <w:rPr>
      <w:rFonts w:ascii="Georgia" w:hAnsi="Georgia"/>
    </w:rPr>
  </w:style>
  <w:style w:type="character" w:customStyle="1" w:styleId="apple-style-span">
    <w:name w:val="apple-style-span"/>
    <w:basedOn w:val="DefaultParagraphFont"/>
    <w:rsid w:val="00F74EBF"/>
  </w:style>
  <w:style w:type="character" w:customStyle="1" w:styleId="apple-converted-space">
    <w:name w:val="apple-converted-space"/>
    <w:basedOn w:val="DefaultParagraphFont"/>
    <w:rsid w:val="00F74EBF"/>
  </w:style>
  <w:style w:type="paragraph" w:customStyle="1" w:styleId="Default">
    <w:name w:val="Default"/>
    <w:rsid w:val="009A4A4D"/>
    <w:pPr>
      <w:autoSpaceDE w:val="0"/>
      <w:autoSpaceDN w:val="0"/>
      <w:adjustRightInd w:val="0"/>
      <w:spacing w:line="240" w:lineRule="auto"/>
    </w:pPr>
    <w:rPr>
      <w:rFonts w:ascii="Calibri" w:hAnsi="Calibri" w:cs="Calibri"/>
      <w:color w:val="000000"/>
      <w:sz w:val="24"/>
      <w:szCs w:val="24"/>
      <w:lang w:val="en-US"/>
    </w:rPr>
  </w:style>
  <w:style w:type="paragraph" w:styleId="TOCHeading">
    <w:name w:val="TOC Heading"/>
    <w:basedOn w:val="Heading1"/>
    <w:next w:val="Normal"/>
    <w:uiPriority w:val="39"/>
    <w:unhideWhenUsed/>
    <w:qFormat/>
    <w:rsid w:val="00C67380"/>
    <w:pPr>
      <w:spacing w:before="240" w:after="0" w:line="259" w:lineRule="auto"/>
      <w:outlineLvl w:val="9"/>
    </w:pPr>
    <w:rPr>
      <w:rFonts w:asciiTheme="majorHAnsi" w:eastAsiaTheme="majorEastAsia" w:hAnsiTheme="majorHAnsi" w:cstheme="majorBidi"/>
      <w:color w:val="365F91" w:themeColor="accent1" w:themeShade="BF"/>
      <w:sz w:val="32"/>
      <w:szCs w:val="32"/>
      <w:lang w:val="en-US"/>
    </w:rPr>
  </w:style>
  <w:style w:type="paragraph" w:styleId="TOC2">
    <w:name w:val="toc 2"/>
    <w:basedOn w:val="Normal"/>
    <w:next w:val="Normal"/>
    <w:autoRedefine/>
    <w:uiPriority w:val="39"/>
    <w:unhideWhenUsed/>
    <w:rsid w:val="00C67380"/>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hyperlink" Target="https://onlinelibrary.wiley.com/doi/pdfdirect/10.1111/gcbb.12714" TargetMode="External"/><Relationship Id="rId117" Type="http://schemas.openxmlformats.org/officeDocument/2006/relationships/hyperlink" Target="https://uitspraken.rechtspraak.nl/inziendocument?id=ECLI:NL:RBDHA:2015:7196" TargetMode="External"/><Relationship Id="rId21" Type="http://schemas.openxmlformats.org/officeDocument/2006/relationships/hyperlink" Target="https://d2k78bk4kdhbpr.cloudfront.net/media/reports/files/Scientific_Basis_For_Roadless_Area_Conservation.pdf" TargetMode="External"/><Relationship Id="rId42" Type="http://schemas.openxmlformats.org/officeDocument/2006/relationships/hyperlink" Target="http://www.sciencedaily.com/releases/2013/02/130211135045.htm" TargetMode="External"/><Relationship Id="rId47" Type="http://schemas.openxmlformats.org/officeDocument/2006/relationships/hyperlink" Target="https://doi.org/10.1007/s10531-022-02437-2" TargetMode="External"/><Relationship Id="rId63" Type="http://schemas.openxmlformats.org/officeDocument/2006/relationships/hyperlink" Target="http://ecoshare.info/wp-content/uploads/2012/08/Ecology-of-and-Habitat-Management-for-the-Dusky-Footed-woodrat.ppt" TargetMode="External"/><Relationship Id="rId68" Type="http://schemas.openxmlformats.org/officeDocument/2006/relationships/hyperlink" Target="http://www.treesearch.fs.fed.us/pubs/37383" TargetMode="External"/><Relationship Id="rId84" Type="http://schemas.openxmlformats.org/officeDocument/2006/relationships/hyperlink" Target="https://doi.org/10.1111/cobi.13318" TargetMode="External"/><Relationship Id="rId89" Type="http://schemas.openxmlformats.org/officeDocument/2006/relationships/hyperlink" Target="https://www.fs.usda.gov/research/treesearch/54316" TargetMode="External"/><Relationship Id="rId112" Type="http://schemas.openxmlformats.org/officeDocument/2006/relationships/hyperlink" Target="http://people.forestry.oregonstate.edu/richard-waring/sites/people.forestry.oregonstate.edu.richard-waring/files/publications/Law%20and%20Waring%202015.pdf" TargetMode="External"/><Relationship Id="rId133" Type="http://schemas.openxmlformats.org/officeDocument/2006/relationships/hyperlink" Target="http://getguesstimate.com/" TargetMode="External"/><Relationship Id="rId138" Type="http://schemas.openxmlformats.org/officeDocument/2006/relationships/hyperlink" Target="http://www.fs.fed.us/pnw/pubs/journals/pnw_2013_restiano001.pdf" TargetMode="External"/><Relationship Id="rId154" Type="http://schemas.openxmlformats.org/officeDocument/2006/relationships/footer" Target="footer1.xml"/><Relationship Id="rId16" Type="http://schemas.openxmlformats.org/officeDocument/2006/relationships/image" Target="media/image5.png"/><Relationship Id="rId107" Type="http://schemas.openxmlformats.org/officeDocument/2006/relationships/hyperlink" Target="https://www.sciencedirect.com/science/article/abs/pii/S0168192322004543" TargetMode="External"/><Relationship Id="rId11" Type="http://schemas.openxmlformats.org/officeDocument/2006/relationships/hyperlink" Target="https://mason.gmu.edu/~jkozlows/nepants.htm" TargetMode="External"/><Relationship Id="rId32" Type="http://schemas.openxmlformats.org/officeDocument/2006/relationships/hyperlink" Target="http://oregon-stream-protection-coalition.com/wp-content/uploads/2014/07/Pollock-and-Beechie.-2014.-Riparian-thinning-and-biodiversity.pdf" TargetMode="External"/><Relationship Id="rId37" Type="http://schemas.openxmlformats.org/officeDocument/2006/relationships/hyperlink" Target="http://ecoshare.info/2010/07/06/what-about-riparian-systems-who-benefits-from-an-early-seral-forest-condition-gregory/" TargetMode="External"/><Relationship Id="rId53" Type="http://schemas.openxmlformats.org/officeDocument/2006/relationships/hyperlink" Target="http://dx.doi.org/10.1890/ES12-00175.1" TargetMode="External"/><Relationship Id="rId58" Type="http://schemas.openxmlformats.org/officeDocument/2006/relationships/hyperlink" Target="http://www.blm.gov/or/plans/wopr/files/NOAA_comments.pdf" TargetMode="External"/><Relationship Id="rId74" Type="http://schemas.openxmlformats.org/officeDocument/2006/relationships/hyperlink" Target="http://www.treesearch.fs.fed.us/pubs/44695" TargetMode="External"/><Relationship Id="rId79" Type="http://schemas.openxmlformats.org/officeDocument/2006/relationships/hyperlink" Target="http://www.fsl.orst.edu/Oldgrowthworkshop/statements/Tappeiner.pdf" TargetMode="External"/><Relationship Id="rId102" Type="http://schemas.openxmlformats.org/officeDocument/2006/relationships/hyperlink" Target="https://www.fs.usda.gov/managing-land/sustainability-and-climate/carbon" TargetMode="External"/><Relationship Id="rId123" Type="http://schemas.openxmlformats.org/officeDocument/2006/relationships/hyperlink" Target="https://naturalresources.house.gov/imo/media/doc/Law,%20Beverly%20-%20Testimony%20-%20NPFPL%20Ov%20Hrg%2004.29.21.pdf" TargetMode="External"/><Relationship Id="rId128" Type="http://schemas.openxmlformats.org/officeDocument/2006/relationships/hyperlink" Target="https://doi.org/10.3390/land11050721" TargetMode="External"/><Relationship Id="rId144" Type="http://schemas.openxmlformats.org/officeDocument/2006/relationships/hyperlink" Target="https://www.fs.usda.gov/rm/pubs/rmrs_p061/rmrs_p061_061_079.pdf" TargetMode="External"/><Relationship Id="rId149" Type="http://schemas.openxmlformats.org/officeDocument/2006/relationships/hyperlink" Target="https://watermark.silverchair.com/pgad345.pdf?token=AQECAHi208BE49Ooan9kkhW_Ercy7Dm3ZL_9Cf3qfKAc485ysgAAA2MwggNfBgkqhkiG9w0BBwagggNQMIIDTAIBADCCA0UGCSqGSIb3DQEHATAeBglghkgBZQMEAS4wEQQMuuL_JMZkHqag7BfbAgEQgIIDFhU3aBbRq5KBqz-OoTAmrNkBBkAj6v14YC9oOU6gH100jAEAYZhWfUAbqhnPwlFZAa8Rzij6Ig1EVbeXZIN2qNXwbk7OIk8ew1Ya2TfUK0zl5uxyKJjCoRsjS9q8rrrTzwdYeH8bp2lTW9-KjlP56JrQUv-lqj8KDu1THeMmPf-qqJeCnk6BmV1OtMPEEQ_0zZ4M5W_3cvb3FFKMUR2go5JGf73rBqkwTLFnuEyVNZnvv62oFQ4wkMpgMC2V0xUIGJ_-OUzzRkYeerRAWLRy-THcP1xUL0NBkgWWgK73rayOa2FF3zNMWiZWAqCahKtyoerj38A1OV_CAJOUs1lqyHhX_p5QyETZyU4d3Ryij-tw9NEf5nAIXFl-1UhF-yYlXLy0tOy4rIBmP4eNvh9FaMxsJtzh5_RmfKMWhP2JlJidFS2BFMO-5aUaHTD9yKGAFoIPPjoJ1nEK2-9z_sF8UA8XDsLZ7KaWY8KdvkJgULMR0tp6FZKvSGnGtwrqn7JS2T-eE3FxyDFF1FyjWzhKawlSfrwC077Nofrog20Tf0GtvsVyN8gam6Hny3Hu32fPfPGisuqVwLH16XJzhSmJUczdthL1YOWX4rQGjcJHvNUO-K5ToIOQzXkdy5LKm7q27ggl_PVJDssu90y4H6EB5n2s3sCoVBz3yfb_7DenuBawoFII6tgfth2IGX51zMwRMsGjNsa1LCpJxzGVtea_4fLc_N6nIScA5JlKOM5r3FdujXFMNwd76ziGn4YdGmlEMMxIJE8rkrKTGvTrPsSq9slJUhRdK6kF_8zjxCAb_y-mG55iBLwM6PrOSqNn-QJBu88R6ippraQut1sZkpCnmebEwbJIQS-R8AQnGleDSpqhOL3gyX2LVvVo9I8dcVqWQQhtvNZR4FoTgNHJXWhWE2KYxceeEyTBe0TrSOTZ5ILC1BbhZBrefZYK33Ak0rZPkmOm_V8AZtmwkJR8uINQEEUDG_U6xn_ZWR3JI7JP6ifLYbc67td-jrw-i1Aa7x5tAhJ5goAVNE-qD0Fd10hfLonef2qKduk" TargetMode="External"/><Relationship Id="rId5" Type="http://schemas.openxmlformats.org/officeDocument/2006/relationships/footnotes" Target="footnotes.xml"/><Relationship Id="rId90" Type="http://schemas.openxmlformats.org/officeDocument/2006/relationships/hyperlink" Target="https://www.fs.usda.gov/research/publications/gtr/gtr_wo95.pdf" TargetMode="External"/><Relationship Id="rId95" Type="http://schemas.openxmlformats.org/officeDocument/2006/relationships/hyperlink" Target="https://www.nwf.org/~/media/PDFs/Global-Warming/2014/Climate-Smart-Conservation-Final_06-06-2014.pdf" TargetMode="External"/><Relationship Id="rId22" Type="http://schemas.openxmlformats.org/officeDocument/2006/relationships/hyperlink" Target="https://drive.google.com/file/d/0B4L_-RD-MJwrRzhFcm5QcFR0MHM/view?usp=sharing&amp;resourcekey=0-2-sbGMN3bOUBQGGMDBQM1Q" TargetMode="External"/><Relationship Id="rId27" Type="http://schemas.openxmlformats.org/officeDocument/2006/relationships/hyperlink" Target="http://www.csp-inc.org/wp-content/uploads/2017/11/Zachmann_et_al_2017.pdf" TargetMode="External"/><Relationship Id="rId43" Type="http://schemas.openxmlformats.org/officeDocument/2006/relationships/hyperlink" Target="https://www.nationalforests.org/blog/seven-reasons-why-fish-need-wood" TargetMode="External"/><Relationship Id="rId48" Type="http://schemas.openxmlformats.org/officeDocument/2006/relationships/hyperlink" Target="https://link.springer.com/article/10.1007/s10531-022-02437-2" TargetMode="External"/><Relationship Id="rId64" Type="http://schemas.openxmlformats.org/officeDocument/2006/relationships/hyperlink" Target="http://elibrary.unm.edu/sora/jrr/v038n03/p00214-p00230.pdf" TargetMode="External"/><Relationship Id="rId69" Type="http://schemas.openxmlformats.org/officeDocument/2006/relationships/hyperlink" Target="http://calendar.oregonstate.edu/event/49175/" TargetMode="External"/><Relationship Id="rId113" Type="http://schemas.openxmlformats.org/officeDocument/2006/relationships/hyperlink" Target="https://doi.org/10.1038/s41467-021-21694-3" TargetMode="External"/><Relationship Id="rId118" Type="http://schemas.openxmlformats.org/officeDocument/2006/relationships/hyperlink" Target="http://phys.org/news/2016-11-carbon-western-cascades-forests-benefit.html" TargetMode="External"/><Relationship Id="rId134" Type="http://schemas.openxmlformats.org/officeDocument/2006/relationships/hyperlink" Target="http://forestpolicypub.com/wp-content/uploads/2011/12/campbell-2011.pdf" TargetMode="External"/><Relationship Id="rId139" Type="http://schemas.openxmlformats.org/officeDocument/2006/relationships/hyperlink" Target="https://escholarship.org/content/qt9xg9n2pj/qt9xg9n2pj.pdf?t=r15vej" TargetMode="External"/><Relationship Id="rId80" Type="http://schemas.openxmlformats.org/officeDocument/2006/relationships/hyperlink" Target="http://www.blm.gov/or/districts/salem/plans/files/SSC_EA.pdf" TargetMode="External"/><Relationship Id="rId85" Type="http://schemas.openxmlformats.org/officeDocument/2006/relationships/hyperlink" Target="https://harvardforest.fas.harvard.edu/sites/default/files/Sims_et_al-2019-Conservation_Biology.pdf" TargetMode="External"/><Relationship Id="rId150" Type="http://schemas.openxmlformats.org/officeDocument/2006/relationships/hyperlink" Target="http://wayback.archive.org/web/" TargetMode="External"/><Relationship Id="rId155" Type="http://schemas.openxmlformats.org/officeDocument/2006/relationships/header" Target="header2.xml"/><Relationship Id="rId12" Type="http://schemas.openxmlformats.org/officeDocument/2006/relationships/image" Target="media/image1.png"/><Relationship Id="rId17" Type="http://schemas.openxmlformats.org/officeDocument/2006/relationships/hyperlink" Target="http://www.fsl.orst.edu/rna/Documents/publications/Flynn%20Creek%20spies_etal_2002_ecological_basis.pdf" TargetMode="External"/><Relationship Id="rId33" Type="http://schemas.openxmlformats.org/officeDocument/2006/relationships/hyperlink" Target="http://bark-out.org/sites/default/files/bark-docs/Jazz_PA_0.pdf" TargetMode="External"/><Relationship Id="rId38" Type="http://schemas.openxmlformats.org/officeDocument/2006/relationships/image" Target="media/image8.png"/><Relationship Id="rId59" Type="http://schemas.openxmlformats.org/officeDocument/2006/relationships/hyperlink" Target="http://www.fs.usda.gov/Internet/FSE_DOCUMENTS/stelprdb5050106.pdf" TargetMode="External"/><Relationship Id="rId103" Type="http://schemas.openxmlformats.org/officeDocument/2006/relationships/hyperlink" Target="https://www.fs.fed.us/rm/pubs_journals/2017/rmrs_2017_schaedel_m001.pdf" TargetMode="External"/><Relationship Id="rId108" Type="http://schemas.openxmlformats.org/officeDocument/2006/relationships/hyperlink" Target="http://ecoshare.info/projects/central-cascade-%20adaptive-management-partnership/workshops/restoring-westside-%20dry-forests/" TargetMode="External"/><Relationship Id="rId124" Type="http://schemas.openxmlformats.org/officeDocument/2006/relationships/hyperlink" Target="https://www.fs.usda.gov/pnw/pubs/pnw_gtr966.pdf" TargetMode="External"/><Relationship Id="rId129" Type="http://schemas.openxmlformats.org/officeDocument/2006/relationships/hyperlink" Target="https://www.mdpi.com/2073-445X/11/5/721/htm" TargetMode="External"/><Relationship Id="rId20" Type="http://schemas.openxmlformats.org/officeDocument/2006/relationships/hyperlink" Target="http://www.fs.fed.us/pnw/pubs/gtr_438.pdf" TargetMode="External"/><Relationship Id="rId41" Type="http://schemas.openxmlformats.org/officeDocument/2006/relationships/hyperlink" Target="http://troutunlimitedblog.com/large-woody-debris-makes-for-fishy-rivers/" TargetMode="External"/><Relationship Id="rId54" Type="http://schemas.openxmlformats.org/officeDocument/2006/relationships/image" Target="media/image9.png"/><Relationship Id="rId62" Type="http://schemas.openxmlformats.org/officeDocument/2006/relationships/hyperlink" Target="http://a123.g.akamai.net/7/123/11558/abc123/forestservic.download.akamai.com/11558/www/nepa/59590_FSPLT2_034896.pdf" TargetMode="External"/><Relationship Id="rId70" Type="http://schemas.openxmlformats.org/officeDocument/2006/relationships/hyperlink" Target="http://calendar.oregonstate.edu/event/49175/" TargetMode="External"/><Relationship Id="rId75" Type="http://schemas.openxmlformats.org/officeDocument/2006/relationships/hyperlink" Target="http://a123.g.akamai.net/7/123/11558/abc123/forestservic.download.akamai.com/11558/www/nepa/59590_FSPLT2_034896.pdf" TargetMode="External"/><Relationship Id="rId83" Type="http://schemas.openxmlformats.org/officeDocument/2006/relationships/hyperlink" Target="https://winapps.umt.edu/winapps/media2/wilderness/NWPS/documents/publiclaws/ORGANIC-ACT-OF-1897.pdf" TargetMode="External"/><Relationship Id="rId88" Type="http://schemas.openxmlformats.org/officeDocument/2006/relationships/hyperlink" Target="https://www.federalregister.gov/documents/2023/01/09/2023-00158/national-environmental-policy-act-guidance-on-consideration-of-greenhouse-gas-emissions-and-climate" TargetMode="External"/><Relationship Id="rId91" Type="http://schemas.openxmlformats.org/officeDocument/2006/relationships/hyperlink" Target="https://obamawhitehouse.archives.gov/sites/whitehouse.gov/files/documents/nepa_final_ghg_guidance.pdf" TargetMode="External"/><Relationship Id="rId96" Type="http://schemas.openxmlformats.org/officeDocument/2006/relationships/hyperlink" Target="https://www.critfc.org/wp-content/uploads/2017/01/JournalPost_Justice_etal2017.pdf" TargetMode="External"/><Relationship Id="rId111" Type="http://schemas.openxmlformats.org/officeDocument/2006/relationships/hyperlink" Target="https://doi.org/10.1038/s41467-022-33196-x" TargetMode="External"/><Relationship Id="rId132" Type="http://schemas.openxmlformats.org/officeDocument/2006/relationships/image" Target="https://lh5.googleusercontent.com/OTzRBt0tDYRyyOhse_tZpJsC3KGjbT7--PRnRPEtWwF6Y97zGEdCBTmPRWxDOMF47pcasQWvyd-rjnLFIRreHUEMw9VU7As5EQZQWBoUtjPsXje7yQ_-9N_HoOuSY2JUyQ8OhdOz" TargetMode="External"/><Relationship Id="rId140" Type="http://schemas.openxmlformats.org/officeDocument/2006/relationships/hyperlink" Target="https://winrock.org/wp-content/uploads/2016/03/WCHazardousFuelsReport.pdf" TargetMode="External"/><Relationship Id="rId145" Type="http://schemas.openxmlformats.org/officeDocument/2006/relationships/hyperlink" Target="https://esajournals.onlinelibrary.wiley.com/doi/10.1002/ecs2.1648" TargetMode="External"/><Relationship Id="rId153"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png"/><Relationship Id="rId23" Type="http://schemas.openxmlformats.org/officeDocument/2006/relationships/hyperlink" Target="http://kritonarsenis.gr/eng/actions/view/european-parliament-backs-the-protection" TargetMode="External"/><Relationship Id="rId28" Type="http://schemas.openxmlformats.org/officeDocument/2006/relationships/hyperlink" Target="https://www.sciencedirect.com/science/article/pii/S0378112714005519?via%3Dihub" TargetMode="External"/><Relationship Id="rId36" Type="http://schemas.openxmlformats.org/officeDocument/2006/relationships/image" Target="media/image7.png"/><Relationship Id="rId49" Type="http://schemas.openxmlformats.org/officeDocument/2006/relationships/hyperlink" Target="http://www.reo.gov/library/policy/REO-694_comm_thin_criteria.doc" TargetMode="External"/><Relationship Id="rId57" Type="http://schemas.openxmlformats.org/officeDocument/2006/relationships/hyperlink" Target="https://www.fs.fed.us/pnw/lwm/aem/docs/reeves/2015_benda_etal_tree_tipping.pdf" TargetMode="External"/><Relationship Id="rId106" Type="http://schemas.openxmlformats.org/officeDocument/2006/relationships/hyperlink" Target="https://www.usda.gov/sites/default/files/documents/4_NRE_FS_ClimateAdaptationPlan_2022.pdf" TargetMode="External"/><Relationship Id="rId114" Type="http://schemas.openxmlformats.org/officeDocument/2006/relationships/hyperlink" Target="https://www.nature.com/articles/s41467-021-21694-3.pdf" TargetMode="External"/><Relationship Id="rId119" Type="http://schemas.openxmlformats.org/officeDocument/2006/relationships/hyperlink" Target="http://onlinelibrary.wiley.com/doi/10.1002/eap.1358/abstract" TargetMode="External"/><Relationship Id="rId127" Type="http://schemas.openxmlformats.org/officeDocument/2006/relationships/hyperlink" Target="https://www.frontiersin.org/articles/10.3389/ffgc.2022.867112/full" TargetMode="External"/><Relationship Id="rId10" Type="http://schemas.openxmlformats.org/officeDocument/2006/relationships/hyperlink" Target="http://web.archive.org/web/20081018102407/http://www.ca9.uscourts.gov/ca9/newopinions.nsf/BBADBE769F43A66D88257449005521AE/$file/0716892.pdf" TargetMode="External"/><Relationship Id="rId31" Type="http://schemas.openxmlformats.org/officeDocument/2006/relationships/hyperlink" Target="http://www.fs.fed.us/pnw/pubs/pnw_gtr865.pdf" TargetMode="External"/><Relationship Id="rId44" Type="http://schemas.openxmlformats.org/officeDocument/2006/relationships/hyperlink" Target="https://fwcs.oregonstate.edu/users/ivan-arismendi" TargetMode="External"/><Relationship Id="rId52" Type="http://schemas.openxmlformats.org/officeDocument/2006/relationships/hyperlink" Target="https://www.fs.fed.us/pnw/pubs/pnw_gtr330.pdf" TargetMode="External"/><Relationship Id="rId60" Type="http://schemas.openxmlformats.org/officeDocument/2006/relationships/hyperlink" Target="http://www.blm.gov/or/districts/roseburg/plans/files/ThirdElkEA.pdf" TargetMode="External"/><Relationship Id="rId65" Type="http://schemas.openxmlformats.org/officeDocument/2006/relationships/hyperlink" Target="http://ecoshare.info/projects/central-cascade-adaptive-management-partnership/study-portfolio/" TargetMode="External"/><Relationship Id="rId73" Type="http://schemas.openxmlformats.org/officeDocument/2006/relationships/hyperlink" Target="http://www.fs.fed.us/pnw/pubs/pnw_gtr880/pnw_gtr880_001.pdf" TargetMode="External"/><Relationship Id="rId78" Type="http://schemas.openxmlformats.org/officeDocument/2006/relationships/hyperlink" Target="http://www.fs.fed.us/pnw/pubs/gtr285/" TargetMode="External"/><Relationship Id="rId81" Type="http://schemas.openxmlformats.org/officeDocument/2006/relationships/hyperlink" Target="http://www.slideshare.net/dougoh/effects-of-logging-on-dead-wood-habitat" TargetMode="External"/><Relationship Id="rId86" Type="http://schemas.openxmlformats.org/officeDocument/2006/relationships/hyperlink" Target="https://www.fs.usda.gov/emc/nepa/climate_change/index.shtml" TargetMode="External"/><Relationship Id="rId94" Type="http://schemas.openxmlformats.org/officeDocument/2006/relationships/hyperlink" Target="https://www.whitehouse.gov/the-press-office/2015/11/03/mitigating-impacts-natural-resources-development-and-encouraging-related" TargetMode="External"/><Relationship Id="rId99" Type="http://schemas.openxmlformats.org/officeDocument/2006/relationships/hyperlink" Target="https://www.nature.com/articles/s43247-024-01228-7" TargetMode="External"/><Relationship Id="rId101" Type="http://schemas.openxmlformats.org/officeDocument/2006/relationships/hyperlink" Target="https://www.nature.com/articles/s43247-024-01228-7" TargetMode="External"/><Relationship Id="rId122" Type="http://schemas.openxmlformats.org/officeDocument/2006/relationships/hyperlink" Target="https://en.wikipedia.org/wiki/Base_rate_fallacy" TargetMode="External"/><Relationship Id="rId130" Type="http://schemas.openxmlformats.org/officeDocument/2006/relationships/hyperlink" Target="http://fes.forestry.oregonstate.edu/sites/fes.forestry.oregonstate.edu/files/PDFs/Campbell_2013_JEM.pdf" TargetMode="External"/><Relationship Id="rId135" Type="http://schemas.openxmlformats.org/officeDocument/2006/relationships/hyperlink" Target="https://web.archive.org/web/20111024074629/http://www.fs.fed.us/pnw/pubs/journals/pnw_2009_mitchell001.pdf" TargetMode="External"/><Relationship Id="rId143" Type="http://schemas.openxmlformats.org/officeDocument/2006/relationships/hyperlink" Target="https://web.archive.org/web/20170531073954/https://www.fs.fed.us/rm/pubs_other/rmrs_2014_loehman_r001.pdf" TargetMode="External"/><Relationship Id="rId148" Type="http://schemas.openxmlformats.org/officeDocument/2006/relationships/hyperlink" Target="https://www.mdpi.com/1999-4907/13/3/391/pdf" TargetMode="External"/><Relationship Id="rId151" Type="http://schemas.openxmlformats.org/officeDocument/2006/relationships/image" Target="media/image12.jpeg"/><Relationship Id="rId156"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http://www.fs.fed.us/pnw/sciencef/scifi85.pdf" TargetMode="External"/><Relationship Id="rId13" Type="http://schemas.openxmlformats.org/officeDocument/2006/relationships/image" Target="media/image2.png"/><Relationship Id="rId18" Type="http://schemas.openxmlformats.org/officeDocument/2006/relationships/hyperlink" Target="https://osupress.oregonstate.edu/book/forest-and-stream-management-in-oregon-coast-range" TargetMode="External"/><Relationship Id="rId39" Type="http://schemas.openxmlformats.org/officeDocument/2006/relationships/hyperlink" Target="https://web.archive.org/web/20161221100307/http://www.reo.gov/library/presentations/Szaro_present_Aquatic_Rip_Final.ppt" TargetMode="External"/><Relationship Id="rId109" Type="http://schemas.openxmlformats.org/officeDocument/2006/relationships/hyperlink" Target="https://www.nature.com/nclimate/journal/vaop/ncurrent/full/nclimate3351.html" TargetMode="External"/><Relationship Id="rId34" Type="http://schemas.openxmlformats.org/officeDocument/2006/relationships/image" Target="media/image6.jpeg"/><Relationship Id="rId50" Type="http://schemas.openxmlformats.org/officeDocument/2006/relationships/hyperlink" Target="http://dx.doi.org/10.1577/M05-024.1" TargetMode="External"/><Relationship Id="rId55" Type="http://schemas.openxmlformats.org/officeDocument/2006/relationships/hyperlink" Target="http://www.fs.fed.us/pnw/pubs/pnw_rp578.pdf" TargetMode="External"/><Relationship Id="rId76" Type="http://schemas.openxmlformats.org/officeDocument/2006/relationships/hyperlink" Target="http://www.montana.edu/hansen/documents/downloadables/hansenetal1991.pdf" TargetMode="External"/><Relationship Id="rId97" Type="http://schemas.openxmlformats.org/officeDocument/2006/relationships/hyperlink" Target="https://doi.org/10.1038/s43247-024-01228-7" TargetMode="External"/><Relationship Id="rId104" Type="http://schemas.openxmlformats.org/officeDocument/2006/relationships/hyperlink" Target="https://www.keeporegoncool.org/roadmap-to-2020/" TargetMode="External"/><Relationship Id="rId120" Type="http://schemas.openxmlformats.org/officeDocument/2006/relationships/hyperlink" Target="https://agupubs.onlinelibrary.wiley.com/doi/epdf/10.1029/2020JG005815" TargetMode="External"/><Relationship Id="rId125" Type="http://schemas.openxmlformats.org/officeDocument/2006/relationships/hyperlink" Target="http://www.carbonbrief.org/in-depth-experts-assess-the-feasibility-of-negative-emissions#bailey" TargetMode="External"/><Relationship Id="rId141" Type="http://schemas.openxmlformats.org/officeDocument/2006/relationships/hyperlink" Target="https://static1.squarespace.com/static/545a90ede4b026480c02c5c7/t/5527ebd9e4b0f620d0cb5b58/1428679641640/CFSC_Chiono_Carbon_and_Fuel_Mngmt.pdf" TargetMode="External"/><Relationship Id="rId146" Type="http://schemas.openxmlformats.org/officeDocument/2006/relationships/hyperlink" Target="https://agupubs.onlinelibrary.wiley.com/doi/epdf/10.1029/2020JG005815" TargetMode="External"/><Relationship Id="rId7" Type="http://schemas.openxmlformats.org/officeDocument/2006/relationships/hyperlink" Target="https://www.google.com/url?q=https://cara.fs2c.usda.gov/Public//CommentInput?Project%3D59122&amp;sa=D&amp;source=calendar&amp;ust=1726336497010502&amp;usg=AOvVaw2IYOpSGuJXJplhNpBe3nln" TargetMode="External"/><Relationship Id="rId71" Type="http://schemas.openxmlformats.org/officeDocument/2006/relationships/image" Target="media/image10.emf"/><Relationship Id="rId92" Type="http://schemas.openxmlformats.org/officeDocument/2006/relationships/hyperlink" Target="https://www.federalregister.gov/documents/2023/01/09/2023-00158/national-environmental-policy-act-guidance-on-consideration-of-greenhouse-gas-emissions-and-climate" TargetMode="External"/><Relationship Id="rId2" Type="http://schemas.openxmlformats.org/officeDocument/2006/relationships/styles" Target="styles.xml"/><Relationship Id="rId29" Type="http://schemas.openxmlformats.org/officeDocument/2006/relationships/hyperlink" Target="https://doi.org/10.1016/j.foreco.2014.09.014" TargetMode="External"/><Relationship Id="rId24" Type="http://schemas.openxmlformats.org/officeDocument/2006/relationships/hyperlink" Target="https://doi.org/10.3389/ffgc.2019.00027" TargetMode="External"/><Relationship Id="rId40" Type="http://schemas.openxmlformats.org/officeDocument/2006/relationships/hyperlink" Target="http://www.fs.fed.us/pnw/pubs/pnw_gtr794.pdf" TargetMode="External"/><Relationship Id="rId45" Type="http://schemas.openxmlformats.org/officeDocument/2006/relationships/hyperlink" Target="https://www.springer.com/journal/10531?gclid=Cj0KCQjwhqaVBhCxARIsAHK1tiNwpoLOgeGKULrNVOsA_KsgM340-jigtBuy21lXvzN94Exosq40JCoaAjbfEALw_wcB" TargetMode="External"/><Relationship Id="rId66" Type="http://schemas.openxmlformats.org/officeDocument/2006/relationships/hyperlink" Target="http://ecoshare.info/wp-content/uploads/2012/08/Commercial-thinning_flying-squirrels.ppt" TargetMode="External"/><Relationship Id="rId87" Type="http://schemas.openxmlformats.org/officeDocument/2006/relationships/hyperlink" Target="https://www.fs.usda.gov/emc/nepa/climate_change/includes/cc_nepa_guidance.pdf" TargetMode="External"/><Relationship Id="rId110" Type="http://schemas.openxmlformats.org/officeDocument/2006/relationships/hyperlink" Target="http://journal.frontiersin.org/Journal/10.3389/fevo.2014.00088/full" TargetMode="External"/><Relationship Id="rId115" Type="http://schemas.openxmlformats.org/officeDocument/2006/relationships/hyperlink" Target="http://dx.doi.org/10.1071/WF11079" TargetMode="External"/><Relationship Id="rId131" Type="http://schemas.openxmlformats.org/officeDocument/2006/relationships/image" Target="media/image11.png"/><Relationship Id="rId136" Type="http://schemas.openxmlformats.org/officeDocument/2006/relationships/hyperlink" Target="http://www.fs.fed.us/rm/pubs_other/rmrs_2010_reinhardt_e002.pdf" TargetMode="External"/><Relationship Id="rId157" Type="http://schemas.openxmlformats.org/officeDocument/2006/relationships/fontTable" Target="fontTable.xml"/><Relationship Id="rId61" Type="http://schemas.openxmlformats.org/officeDocument/2006/relationships/hyperlink" Target="http://www.blm.gov/or/districts/salem/plans/files/TC_EA.pdf" TargetMode="External"/><Relationship Id="rId82" Type="http://schemas.openxmlformats.org/officeDocument/2006/relationships/hyperlink" Target="http://www.mediate.com/DSConsulting/docs/FINAL%20wood%20recruitment%20document.pdf" TargetMode="External"/><Relationship Id="rId152" Type="http://schemas.openxmlformats.org/officeDocument/2006/relationships/hyperlink" Target="mailto:dh@oregonwild.org" TargetMode="External"/><Relationship Id="rId19" Type="http://schemas.openxmlformats.org/officeDocument/2006/relationships/hyperlink" Target="http://www.fs.fed.us/psw/publications/documents/gtr-181/049_Korol.pdf" TargetMode="External"/><Relationship Id="rId14" Type="http://schemas.openxmlformats.org/officeDocument/2006/relationships/image" Target="media/image3.png"/><Relationship Id="rId30" Type="http://schemas.openxmlformats.org/officeDocument/2006/relationships/hyperlink" Target="https://www.energy.gov/sites/prod/files/NEPA-40CFR1500_1508.pdf" TargetMode="External"/><Relationship Id="rId35" Type="http://schemas.openxmlformats.org/officeDocument/2006/relationships/hyperlink" Target="http://www.blm.gov/or/districts/medford/plans/files/PT_EA_ForWeb.pdf" TargetMode="External"/><Relationship Id="rId56" Type="http://schemas.openxmlformats.org/officeDocument/2006/relationships/hyperlink" Target="http://www.blm.gov/or/plans/wopr/pub_comments/paper_documents/Paper_1764-1924/WOPR_PAPER_01921.10001.pdf" TargetMode="External"/><Relationship Id="rId77" Type="http://schemas.openxmlformats.org/officeDocument/2006/relationships/hyperlink" Target="http://andrewsforest.oregonstate.edu/pubs/pdf/pub120.pdf" TargetMode="External"/><Relationship Id="rId100" Type="http://schemas.openxmlformats.org/officeDocument/2006/relationships/hyperlink" Target="https://www.nature.com/articles/s43247-024-01228-7" TargetMode="External"/><Relationship Id="rId105" Type="http://schemas.openxmlformats.org/officeDocument/2006/relationships/hyperlink" Target="https://www.mdpi.com/1999-4907/9/10/618" TargetMode="External"/><Relationship Id="rId126" Type="http://schemas.openxmlformats.org/officeDocument/2006/relationships/hyperlink" Target="https://archives.corvallisoregon.gov/public/ElectronicFile.aspx?dbid=0&amp;docid=4256162" TargetMode="External"/><Relationship Id="rId147" Type="http://schemas.openxmlformats.org/officeDocument/2006/relationships/hyperlink" Target="https://doi.org/10.3390/f13030391" TargetMode="External"/><Relationship Id="rId8" Type="http://schemas.openxmlformats.org/officeDocument/2006/relationships/hyperlink" Target="https://www.fs.usda.gov/project/siuslaw/?project=59122" TargetMode="External"/><Relationship Id="rId51" Type="http://schemas.openxmlformats.org/officeDocument/2006/relationships/hyperlink" Target="http://www.fs.fed.us/pnw/pubs/pnw_gtr692.pdf" TargetMode="External"/><Relationship Id="rId72" Type="http://schemas.openxmlformats.org/officeDocument/2006/relationships/hyperlink" Target="https://usfs-public.app.box.com/v/PinyonPublic/folder/158152590920" TargetMode="External"/><Relationship Id="rId93" Type="http://schemas.openxmlformats.org/officeDocument/2006/relationships/hyperlink" Target="https://www.whitehouse.gov/briefing-room/presidential-actions/2021/01/20/executive-order-protecting-public-health-and-environment-and-restoring-science-to-tackle-climate-crisis/" TargetMode="External"/><Relationship Id="rId98" Type="http://schemas.openxmlformats.org/officeDocument/2006/relationships/hyperlink" Target="https://www.nature.com/articles/s43247-024-01228-7" TargetMode="External"/><Relationship Id="rId121" Type="http://schemas.openxmlformats.org/officeDocument/2006/relationships/hyperlink" Target="https://www.fs.usda.gov/research/publications/gtr/gtr_wo95.pdf" TargetMode="External"/><Relationship Id="rId142" Type="http://schemas.openxmlformats.org/officeDocument/2006/relationships/hyperlink" Target="https://pacificforest.org/pft-in-the-media-2010-climatewire-8-19-10.html" TargetMode="External"/><Relationship Id="rId3" Type="http://schemas.openxmlformats.org/officeDocument/2006/relationships/settings" Target="settings.xml"/><Relationship Id="rId25" Type="http://schemas.openxmlformats.org/officeDocument/2006/relationships/hyperlink" Target="https://www.frontiersin.org/articles/10.3389/ffgc.2019.00027/full" TargetMode="External"/><Relationship Id="rId46" Type="http://schemas.openxmlformats.org/officeDocument/2006/relationships/hyperlink" Target="https://ktvz.com/news/environment/2022/06/21/osu-research-looks-at-importance-of-large-wood-in-streams-for-land-based-animals/" TargetMode="External"/><Relationship Id="rId67" Type="http://schemas.openxmlformats.org/officeDocument/2006/relationships/hyperlink" Target="http://ecoshare.info/projects/central-cascade-adaptive-management-partnership/workshops/spotted-owl/" TargetMode="External"/><Relationship Id="rId116" Type="http://schemas.openxmlformats.org/officeDocument/2006/relationships/hyperlink" Target="http://www.publish.csiro.au/?act=view_file&amp;file_id=WF11079.pdf" TargetMode="External"/><Relationship Id="rId137" Type="http://schemas.openxmlformats.org/officeDocument/2006/relationships/hyperlink" Target="https://archives.corvallisoregon.gov/public/ElectronicFile.aspx?dbid=0&amp;docid=4256162" TargetMode="External"/><Relationship Id="rId158"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www.fs.fed.us/pnw/pubs/pnw_gtr794.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oug\Dropbox\Forms\Comment%20Template%20(2024%20new%20logo).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Comment Template (2024 new logo).dotx</Template>
  <TotalTime>2846</TotalTime>
  <Pages>71</Pages>
  <Words>34408</Words>
  <Characters>196127</Characters>
  <Application>Microsoft Office Word</Application>
  <DocSecurity>0</DocSecurity>
  <Lines>1634</Lines>
  <Paragraphs>460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230075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Doug</dc:creator>
  <cp:lastModifiedBy>Doug</cp:lastModifiedBy>
  <cp:revision>42</cp:revision>
  <dcterms:created xsi:type="dcterms:W3CDTF">2024-09-09T21:29:00Z</dcterms:created>
  <dcterms:modified xsi:type="dcterms:W3CDTF">2024-09-11T22:38:00Z</dcterms:modified>
</cp:coreProperties>
</file>